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800735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Tilly’s,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tbl>
      <w:tblPr>
        <w:tblLayout w:type="fixed"/>
        <w:tblInd w:w="640" w:type="dxa"/>
        <w:tblCellMar>
          <w:top w:w="0" w:type="dxa"/>
          <w:left w:w="0" w:type="dxa"/>
          <w:bottom w:w="0" w:type="dxa"/>
          <w:right w:w="0" w:type="dxa"/>
        </w:tblCellMar>
      </w:tblPr>
      <w:tr>
        <w:trPr>
          <w:trHeight w:val="227"/>
        </w:trPr>
        <w:tc>
          <w:tcPr>
            <w:tcW w:w="3620" w:type="dxa"/>
            <w:vAlign w:val="bottom"/>
          </w:tcPr>
          <w:p>
            <w:pPr>
              <w:jc w:val="center"/>
              <w:ind w:right="16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001-35535</w:t>
            </w:r>
          </w:p>
        </w:tc>
        <w:tc>
          <w:tcPr>
            <w:tcW w:w="2280" w:type="dxa"/>
            <w:vAlign w:val="bottom"/>
          </w:tcPr>
          <w:p>
            <w:pPr>
              <w:jc w:val="center"/>
              <w:ind w:left="1082"/>
              <w:spacing w:after="0"/>
              <w:rPr>
                <w:sz w:val="20"/>
                <w:szCs w:val="20"/>
                <w:color w:val="auto"/>
              </w:rPr>
            </w:pPr>
            <w:r>
              <w:rPr>
                <w:rFonts w:ascii="Times New Roman" w:cs="Times New Roman" w:eastAsia="Times New Roman" w:hAnsi="Times New Roman"/>
                <w:sz w:val="18"/>
                <w:szCs w:val="18"/>
                <w:b w:val="1"/>
                <w:bCs w:val="1"/>
                <w:color w:val="auto"/>
              </w:rPr>
              <w:t>45-2164791</w:t>
            </w:r>
          </w:p>
        </w:tc>
      </w:tr>
      <w:tr>
        <w:trPr>
          <w:trHeight w:val="148"/>
        </w:trPr>
        <w:tc>
          <w:tcPr>
            <w:tcW w:w="3620" w:type="dxa"/>
            <w:vAlign w:val="bottom"/>
          </w:tcPr>
          <w:p>
            <w:pPr>
              <w:jc w:val="center"/>
              <w:ind w:right="16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20" w:type="dxa"/>
            <w:vAlign w:val="bottom"/>
          </w:tcPr>
          <w:p>
            <w:pP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80" w:type="dxa"/>
            <w:vAlign w:val="bottom"/>
          </w:tcPr>
          <w:p>
            <w:pPr>
              <w:jc w:val="center"/>
              <w:ind w:left="10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6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2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80" w:type="dxa"/>
            <w:vAlign w:val="bottom"/>
          </w:tcPr>
          <w:p>
            <w:pPr>
              <w:jc w:val="center"/>
              <w:ind w:left="10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ectPr>
          <w:pgSz w:w="11900" w:h="16838" w:orient="portrait"/>
          <w:cols w:equalWidth="0" w:num="1">
            <w:col w:w="10740"/>
          </w:cols>
          <w:pgMar w:left="320" w:top="1440" w:right="839" w:bottom="1440" w:gutter="0" w:footer="0" w:header="0"/>
        </w:sectPr>
      </w:pPr>
    </w:p>
    <w:p>
      <w:pPr>
        <w:spacing w:after="0" w:line="200" w:lineRule="exact"/>
        <w:rPr>
          <w:sz w:val="24"/>
          <w:szCs w:val="24"/>
          <w:color w:val="auto"/>
        </w:rPr>
      </w:pPr>
    </w:p>
    <w:p>
      <w:pPr>
        <w:spacing w:after="0" w:line="34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b w:val="1"/>
          <w:bCs w:val="1"/>
          <w:color w:val="auto"/>
        </w:rPr>
        <w:t>10 Whatney, Irvine,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92618</w:t>
      </w:r>
    </w:p>
    <w:p>
      <w:pPr>
        <w:spacing w:after="0" w:line="31" w:lineRule="exact"/>
        <w:rPr>
          <w:sz w:val="24"/>
          <w:szCs w:val="24"/>
          <w:color w:val="auto"/>
        </w:rPr>
      </w:pPr>
    </w:p>
    <w:p>
      <w:pPr>
        <w:sectPr>
          <w:pgSz w:w="11900" w:h="16838" w:orient="portrait"/>
          <w:cols w:equalWidth="0" w:num="2">
            <w:col w:w="7600" w:space="720"/>
            <w:col w:w="2420"/>
          </w:cols>
          <w:pgMar w:left="320" w:top="1440" w:right="8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500" w:space="720"/>
            <w:col w:w="2520"/>
          </w:cols>
          <w:pgMar w:left="320" w:top="1440" w:right="839" w:bottom="1440" w:gutter="0" w:footer="0" w:header="0"/>
          <w:type w:val="continuous"/>
        </w:sectPr>
      </w:pPr>
    </w:p>
    <w:p>
      <w:pPr>
        <w:spacing w:after="0" w:line="11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Michael L. Henry</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Tilly’s, Inc.</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(949) 609-5599</w:t>
      </w:r>
    </w:p>
    <w:p>
      <w:pPr>
        <w:spacing w:after="0" w:line="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386080</wp:posOffset>
            </wp:positionV>
            <wp:extent cx="6926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351790</wp:posOffset>
            </wp:positionV>
            <wp:extent cx="6926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6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July 2010, the United States Congress enacted legislation that requires certain public companies to provide disclosure about the use in products they manufacture (or contract to manufacture) of tin, tantalum, tungsten, gold or their derivatives (“Conflict Minerals”) emanating from the Democratic Republic of the Congo and its adjoining countries (the “Covered Countries”). The legislation is codified in Section 13(p), and Rule 13p-1 (the “Rule”), under the Securities Exchange Act of 1934, as amended (the “Act”), and applies to issuers that manufacture or contract to manufacture products for which Conflict Minerals are necessary to the functionality or production.</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required by the Rule, Tilly’s, Inc. (the “Company”) undertook an analysis of its products to determine whether it would be deemed under the Rule to manufacture or contract to manufacture any product in which any Conflict Mineral was necessary to the functionality or production of such product. As a retail business, the Company determined that many of the products it sells are not subject to the Rule because it purchases such finished products from suppliers for re-sale, and, with respect to those products, it does not typically contract for their manufacture. As a result of the analysis, the Company determined that during the reporting period January 1, 2025 to December 31, 2025 (the “Relevant Period”), the Company contracted with certain vendors (the “Covered Vendors”) to manufacture certain products (the “Covered Products”) that might contain Conflict Minerals necessary to the functionality or production of the Covered Products. Accordingly, the Company conducted a reasonable country of origin inquiry with respect to Conflict Minerals in such Covered Products (the “RCOI”), as required by the Act.</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RCOI process commenced with the preparation of a conflict minerals questionnaire based on the model questionnaires prepared by the Electronic Industry Citizenship Coalition and Global e-Sustainability Initiative. The questionnaires were then distributed electronically to all Covered Vendors, as well as any other vendors that were used in the manufacture of the Company’s products or were contracted to manufacture products for the Company during the Relevant Period (collectively, the “Vendors”). The Vendors completed such questionnaires and electronically returned them to the Company. The Company then reviewed the responses, and based on the results of its RCOI, the Company determined it has no reason to believe that, during the Relevant Period, its Covered Products contain Conflict Minerals that may have originated in the Covered Countries. The foregoing information is separately disclosed on the Company’s website at www.tillys.com, on the Investor Relations page, under the heading “Conflict Minerals Disclosure.”</w:t>
      </w:r>
    </w:p>
    <w:p>
      <w:pPr>
        <w:sectPr>
          <w:pgSz w:w="11900" w:h="16838" w:orient="portrait"/>
          <w:cols w:equalWidth="0" w:num="1">
            <w:col w:w="11140"/>
          </w:cols>
          <w:pgMar w:left="320" w:top="1346"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Tilly’s,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Michael L. Henry</w:t>
            </w:r>
          </w:p>
        </w:tc>
        <w:tc>
          <w:tcPr>
            <w:tcW w:w="53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4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Michael L. Henry, Chief Financial Officer</w:t>
            </w:r>
          </w:p>
        </w:tc>
        <w:tc>
          <w:tcPr>
            <w:tcW w:w="940" w:type="dxa"/>
            <w:vAlign w:val="bottom"/>
          </w:tcPr>
          <w:p>
            <w:pPr>
              <w:spacing w:after="0"/>
              <w:rPr>
                <w:sz w:val="19"/>
                <w:szCs w:val="19"/>
                <w:color w:val="auto"/>
              </w:rPr>
            </w:pPr>
          </w:p>
        </w:tc>
        <w:tc>
          <w:tcPr>
            <w:tcW w:w="532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(Date)</w:t>
            </w:r>
          </w:p>
        </w:tc>
      </w:tr>
    </w:tbl>
    <w:p>
      <w:pPr>
        <w:spacing w:after="0" w:line="1" w:lineRule="exact"/>
        <w:rPr>
          <w:sz w:val="20"/>
          <w:szCs w:val="20"/>
          <w:color w:val="auto"/>
        </w:rPr>
      </w:pP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2026-05-13T05:18:49Z</dcterms:created>
  <dcterms:modified xsi:type="dcterms:W3CDTF">2026-05-13T05:18:49Z</dcterms:modified>
</cp:coreProperties>
</file>