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26, 2026</w:t>
      </w:r>
    </w:p>
    <w:p>
      <w:pPr>
        <w:spacing w:after="0" w:line="50"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Tilly’s, Inc.</w:t>
      </w:r>
    </w:p>
    <w:p>
      <w:pPr>
        <w:spacing w:after="0" w:line="10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3" w:lineRule="exact"/>
        <w:rPr>
          <w:sz w:val="24"/>
          <w:szCs w:val="24"/>
          <w:color w:val="auto"/>
        </w:rPr>
      </w:pPr>
    </w:p>
    <w:p>
      <w:pPr>
        <w:ind w:left="2380"/>
        <w:spacing w:after="0"/>
        <w:tabs>
          <w:tab w:leader="none" w:pos="80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45-2164791</w:t>
      </w:r>
    </w:p>
    <w:p>
      <w:pPr>
        <w:spacing w:after="0" w:line="34" w:lineRule="exact"/>
        <w:rPr>
          <w:sz w:val="24"/>
          <w:szCs w:val="24"/>
          <w:color w:val="auto"/>
        </w:rPr>
      </w:pPr>
    </w:p>
    <w:p>
      <w:pPr>
        <w:ind w:left="1820"/>
        <w:spacing w:after="0"/>
        <w:tabs>
          <w:tab w:leader="none" w:pos="80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ind w:left="1780"/>
        <w:spacing w:after="0"/>
        <w:tabs>
          <w:tab w:leader="none" w:pos="780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Number)</w:t>
      </w:r>
    </w:p>
    <w:p>
      <w:pPr>
        <w:spacing w:after="0" w:line="137" w:lineRule="exact"/>
        <w:rPr>
          <w:sz w:val="24"/>
          <w:szCs w:val="24"/>
          <w:color w:val="auto"/>
        </w:rPr>
      </w:pPr>
    </w:p>
    <w:p>
      <w:pPr>
        <w:ind w:left="5380" w:hanging="218"/>
        <w:spacing w:after="0"/>
        <w:tabs>
          <w:tab w:leader="none" w:pos="5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Whatney</w:t>
      </w:r>
    </w:p>
    <w:p>
      <w:pPr>
        <w:spacing w:after="0" w:line="36" w:lineRule="exact"/>
        <w:rPr>
          <w:rFonts w:ascii="Times New Roman" w:cs="Times New Roman" w:eastAsia="Times New Roman" w:hAnsi="Times New Roman"/>
          <w:sz w:val="18"/>
          <w:szCs w:val="18"/>
          <w:b w:val="1"/>
          <w:bCs w:val="1"/>
          <w:color w:val="auto"/>
        </w:rPr>
      </w:pPr>
    </w:p>
    <w:p>
      <w:pPr>
        <w:ind w:left="4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Irvine, California 92618</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Tilly’s, Inc. Fourth Amended and Restated 2012 Equity and Incentive Award Plan</w:t>
      </w:r>
    </w:p>
    <w:p>
      <w:pPr>
        <w:spacing w:after="0" w:line="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381"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4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Nate Smith</w:t>
            </w: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216"/>
        </w:trPr>
        <w:tc>
          <w:tcPr>
            <w:tcW w:w="44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Darren Guttenberg</w:t>
            </w:r>
          </w:p>
        </w:tc>
      </w:tr>
      <w:tr>
        <w:trPr>
          <w:trHeight w:val="216"/>
        </w:trPr>
        <w:tc>
          <w:tcPr>
            <w:tcW w:w="44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Tilly’s, Inc.</w:t>
            </w: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44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10 Whatney</w:t>
            </w: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650 Town Center Drive, 20th Floor</w:t>
            </w:r>
          </w:p>
        </w:tc>
      </w:tr>
      <w:tr>
        <w:trPr>
          <w:trHeight w:val="216"/>
        </w:trPr>
        <w:tc>
          <w:tcPr>
            <w:tcW w:w="44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Irvine, California 92618</w:t>
            </w: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Costa Mesa, California 92626-1925</w:t>
            </w:r>
          </w:p>
        </w:tc>
      </w:tr>
      <w:tr>
        <w:trPr>
          <w:trHeight w:val="238"/>
        </w:trPr>
        <w:tc>
          <w:tcPr>
            <w:tcW w:w="440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(949) 609-5599</w:t>
            </w:r>
          </w:p>
        </w:tc>
        <w:tc>
          <w:tcPr>
            <w:tcW w:w="418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(714) 540-1235</w:t>
            </w:r>
          </w:p>
        </w:tc>
      </w:tr>
    </w:tbl>
    <w:p>
      <w:pPr>
        <w:spacing w:after="0" w:line="1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w:t>
      </w:r>
    </w:p>
    <w:p>
      <w:pPr>
        <w:spacing w:after="0" w:line="345" w:lineRule="exact"/>
        <w:rPr>
          <w:sz w:val="24"/>
          <w:szCs w:val="24"/>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887" w:right="499" w:bottom="1440" w:gutter="0" w:footer="0" w:header="0"/>
        </w:sectPr>
      </w:pPr>
    </w:p>
    <w:p>
      <w:pPr>
        <w:spacing w:after="0" w:line="43" w:lineRule="exact"/>
        <w:rPr>
          <w:sz w:val="24"/>
          <w:szCs w:val="24"/>
          <w:color w:val="auto"/>
        </w:rPr>
      </w:pPr>
    </w:p>
    <w:p>
      <w:pPr>
        <w:ind w:left="20" w:right="220"/>
        <w:spacing w:after="0" w:line="297"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5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20" w:type="dxa"/>
            <w:vAlign w:val="bottom"/>
          </w:tcPr>
          <w:p>
            <w:pPr>
              <w:spacing w:after="0"/>
              <w:rPr>
                <w:sz w:val="24"/>
                <w:szCs w:val="24"/>
                <w:color w:val="auto"/>
              </w:rPr>
            </w:pPr>
          </w:p>
        </w:tc>
        <w:tc>
          <w:tcPr>
            <w:tcW w:w="48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2">
            <w:col w:w="1860" w:space="720"/>
            <w:col w:w="8500"/>
          </w:cols>
          <w:pgMar w:left="320" w:top="887" w:right="499" w:bottom="1440" w:gutter="0" w:footer="0" w:header="0"/>
          <w:type w:val="continuous"/>
        </w:sectPr>
      </w:pPr>
    </w:p>
    <w:p>
      <w:pPr>
        <w:spacing w:after="0" w:line="105" w:lineRule="exact"/>
        <w:rPr>
          <w:sz w:val="24"/>
          <w:szCs w:val="24"/>
          <w:color w:val="auto"/>
        </w:rPr>
      </w:pPr>
    </w:p>
    <w:p>
      <w:pPr>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88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June 10, 2026, the stockholders of Tilly’s, Inc. (the “Company,” the “Registrant,” “we” or “us”) approved the Tilly’s, Inc. Fourth Amended and Restated 2012 Equity and Incentive Award Plan (the “Plan”), which amended and restated the Tilly’s, Inc. Third Amended and Restated 2012 Equity and Incentive Award Plan to, among other things, increase the number of authorized shares of the Registrant’s Class A common stock, par value $0.001 per share (the “Common Stock”), available for issuance pursuant to awards that may be granted under the Plan by 2,500,000 shares. The Registrant is filing this registration statement (this “Registration Statement”) on Form S-8 to register such additional shares.</w:t>
      </w:r>
    </w:p>
    <w:p>
      <w:pPr>
        <w:spacing w:after="0" w:line="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Plan currently authorizes the issuance of 11,113,900 shares of Common Stock, of which 2,500,000 shares of Common Stock are being registered hereunder, 2,000,000 shares of Common Stock were registered previously on a Form S-8 filed with the Securities and Exchange Commission (the “Commission”) on July 25, 2025 (File No. 333-288957), 2,200,000 shares of Common Stock were registered previously on a Form S-8 filed with the Commission on July 8, 2020 (File No. 333-239756), 1,500,000 shares of Common Stock were registered previously on a Form S-8 filed with the Commission on September 10, 2014 (File No. 333-198676), and 2,913,900 shares of Common Stock were registered previously on a Form S-8 filed with the Commission on May 4, 2012 (File No. 333-181148) (the “Prior Registration Statements”). In accordance with General Instruction E of Form S-8, the contents of the Prior Registration Statements are incorporated herein by reference to the extent not modified or superseded hereby or by any subsequently filed document that is incorporated by reference in this Registration Statement or in the Prior Registration Statements.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documents containing the information specified in Part I of Form S-8 will be sent or given to participants in accordance with Rule 428(b)(1) under the</w:t>
      </w:r>
    </w:p>
    <w:p>
      <w:pPr>
        <w:spacing w:after="0" w:line="6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 Such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Commission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Commission will update and supersede this information. We hereby incorporate by reference into this registration statement the following documents previously filed with the Commission:</w:t>
      </w:r>
    </w:p>
    <w:p>
      <w:pPr>
        <w:spacing w:after="0" w:line="72"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January 31, 2026, filed with the Commission on April 9, 2026;</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May 2, 2026, filed with the Commission on June 4, 2026;</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Commission on February 26, 2026, March 10, 2026, June 11, 2026, and June 12, 2026, in each case solely to the extent filed and not furnished;</w:t>
      </w:r>
    </w:p>
    <w:p>
      <w:pPr>
        <w:spacing w:after="0" w:line="5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“Exchange Act”), subsequent to the end of the fiscal year covered by the form referred to in (a) above (excluding, in each case, any such information furnished pursuant to any such reports);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Exhibit 4.2 to our Annual Report on Form 10-K for the fiscal year ended January 31, 2026, filed with the Commission on April 9, 2026, and any amendment or report filed with the Commission for the purpose of updating the description.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all documents filed by us with the Commission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w:t>
      </w:r>
    </w:p>
    <w:p>
      <w:pPr>
        <w:sectPr>
          <w:pgSz w:w="11900" w:h="16838" w:orient="portrait"/>
          <w:cols w:equalWidth="0" w:num="1">
            <w:col w:w="11240"/>
          </w:cols>
          <w:pgMar w:left="320" w:top="765"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8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Under no circumstances shall any information furnished under Item 2.02 or 7.01 of Form 8-K be deemed incorporated herein by reference unless such Form 8-K expressly provides to the contrary.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48" w:lineRule="exact"/>
        <w:rPr>
          <w:sz w:val="20"/>
          <w:szCs w:val="20"/>
          <w:color w:val="auto"/>
        </w:rPr>
      </w:pPr>
    </w:p>
    <w:p>
      <w:pPr>
        <w:ind w:left="1160" w:right="320" w:hanging="462"/>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9">
        <w:r>
          <w:rPr>
            <w:rFonts w:ascii="Times New Roman" w:cs="Times New Roman" w:eastAsia="Times New Roman" w:hAnsi="Times New Roman"/>
            <w:sz w:val="18"/>
            <w:szCs w:val="18"/>
            <w:u w:val="single" w:color="auto"/>
            <w:color w:val="0000FF"/>
          </w:rPr>
          <w:t>Amended and Restated Certificate of Incorporation of Tilly’s, Inc. (incorporated by reference to Exhibit 3.1 to Amendment No. 2 to the</w:t>
        </w:r>
      </w:hyperlink>
      <w:r>
        <w:rPr>
          <w:rFonts w:ascii="Times New Roman" w:cs="Times New Roman" w:eastAsia="Times New Roman" w:hAnsi="Times New Roman"/>
          <w:sz w:val="18"/>
          <w:szCs w:val="18"/>
          <w:u w:val="single" w:color="auto"/>
          <w:color w:val="0000FF"/>
        </w:rPr>
        <w:t xml:space="preserve"> </w:t>
      </w:r>
      <w:hyperlink r:id="rId9">
        <w:r>
          <w:rPr>
            <w:rFonts w:ascii="Times New Roman" w:cs="Times New Roman" w:eastAsia="Times New Roman" w:hAnsi="Times New Roman"/>
            <w:sz w:val="18"/>
            <w:szCs w:val="18"/>
            <w:u w:val="single" w:color="auto"/>
            <w:color w:val="0000FF"/>
          </w:rPr>
          <w:t>Registrant’s Registration Statement on Form S-1 (File No. 333-175299) filed on September 7, 2011).</w:t>
        </w:r>
      </w:hyperlink>
    </w:p>
    <w:p>
      <w:pPr>
        <w:spacing w:after="0" w:line="54" w:lineRule="exact"/>
        <w:rPr>
          <w:sz w:val="20"/>
          <w:szCs w:val="20"/>
          <w:color w:val="auto"/>
        </w:rPr>
      </w:pPr>
    </w:p>
    <w:p>
      <w:pPr>
        <w:ind w:left="7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0">
        <w:r>
          <w:rPr>
            <w:rFonts w:ascii="Times New Roman" w:cs="Times New Roman" w:eastAsia="Times New Roman" w:hAnsi="Times New Roman"/>
            <w:sz w:val="17"/>
            <w:szCs w:val="17"/>
            <w:u w:val="single" w:color="auto"/>
            <w:color w:val="0000FF"/>
          </w:rPr>
          <w:t>Fourth Amended and Restated Bylaws of Tilly’s, Inc. (incorporated by reference to Exhibit 3.1 to the Registrant’s Current Report on Form</w:t>
        </w:r>
      </w:hyperlink>
    </w:p>
    <w:p>
      <w:pPr>
        <w:spacing w:after="0" w:line="4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8-K filed on March 7, 2024).</w:t>
        </w:r>
      </w:hyperlink>
    </w:p>
    <w:p>
      <w:pPr>
        <w:spacing w:after="0" w:line="85" w:lineRule="exact"/>
        <w:rPr>
          <w:sz w:val="20"/>
          <w:szCs w:val="20"/>
          <w:color w:val="auto"/>
        </w:rPr>
      </w:pPr>
    </w:p>
    <w:p>
      <w:pPr>
        <w:ind w:left="1160" w:right="80" w:hanging="462"/>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1">
        <w:r>
          <w:rPr>
            <w:rFonts w:ascii="Times New Roman" w:cs="Times New Roman" w:eastAsia="Times New Roman" w:hAnsi="Times New Roman"/>
            <w:sz w:val="18"/>
            <w:szCs w:val="18"/>
            <w:u w:val="single" w:color="auto"/>
            <w:color w:val="0000FF"/>
          </w:rPr>
          <w:t>Form of Class A Common Stock Certificate (incorporated by reference to Exhibit 3.1 to the Registrant’s Current Report on Form 8-K filed</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on June 11, 2020).</w:t>
        </w:r>
      </w:hyperlink>
    </w:p>
    <w:p>
      <w:pPr>
        <w:spacing w:after="0" w:line="54" w:lineRule="exact"/>
        <w:rPr>
          <w:sz w:val="20"/>
          <w:szCs w:val="20"/>
          <w:color w:val="auto"/>
        </w:rPr>
      </w:pPr>
    </w:p>
    <w:p>
      <w:pPr>
        <w:ind w:left="1160" w:right="380" w:hanging="462"/>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2">
        <w:r>
          <w:rPr>
            <w:rFonts w:ascii="Times New Roman" w:cs="Times New Roman" w:eastAsia="Times New Roman" w:hAnsi="Times New Roman"/>
            <w:sz w:val="18"/>
            <w:szCs w:val="18"/>
            <w:u w:val="single" w:color="auto"/>
            <w:color w:val="0000FF"/>
          </w:rPr>
          <w:t>Description of Tilly’s, Inc. Securities (incorporated by reference to Exhibit 4.2 to the Registrant’s Annual Report on Form 10-K for the</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period ended February 1, 2020).</w:t>
        </w:r>
      </w:hyperlink>
    </w:p>
    <w:p>
      <w:pPr>
        <w:spacing w:after="0" w:line="6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Latham &amp; Watkins LLP.</w:t>
      </w:r>
    </w:p>
    <w:p>
      <w:pPr>
        <w:spacing w:after="0" w:line="117" w:lineRule="exact"/>
        <w:rPr>
          <w:sz w:val="20"/>
          <w:szCs w:val="20"/>
          <w:color w:val="auto"/>
        </w:rPr>
      </w:pPr>
    </w:p>
    <w:p>
      <w:pPr>
        <w:ind w:left="1160" w:right="880" w:hanging="552"/>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3">
        <w:r>
          <w:rPr>
            <w:rFonts w:ascii="Times New Roman" w:cs="Times New Roman" w:eastAsia="Times New Roman" w:hAnsi="Times New Roman"/>
            <w:sz w:val="18"/>
            <w:szCs w:val="18"/>
            <w:u w:val="single" w:color="auto"/>
            <w:color w:val="0000FF"/>
          </w:rPr>
          <w:t>Tilly’s Inc. Fourth Amended and Restated 2012 Equity and Incentive Award Plan (incorporated by reference to Exhibit A of the</w:t>
        </w:r>
      </w:hyperlink>
      <w:r>
        <w:rPr>
          <w:rFonts w:ascii="Times New Roman" w:cs="Times New Roman" w:eastAsia="Times New Roman" w:hAnsi="Times New Roman"/>
          <w:sz w:val="18"/>
          <w:szCs w:val="18"/>
          <w:u w:val="single" w:color="auto"/>
          <w:color w:val="0000FF"/>
        </w:rPr>
        <w:t xml:space="preserve"> </w:t>
      </w:r>
      <w:hyperlink r:id="rId13">
        <w:r>
          <w:rPr>
            <w:rFonts w:ascii="Times New Roman" w:cs="Times New Roman" w:eastAsia="Times New Roman" w:hAnsi="Times New Roman"/>
            <w:sz w:val="18"/>
            <w:szCs w:val="18"/>
            <w:u w:val="single" w:color="auto"/>
            <w:color w:val="0000FF"/>
          </w:rPr>
          <w:t>Registrant’s Definitive Proxy Statement filed on April 20, 2026).</w:t>
        </w:r>
      </w:hyperlink>
    </w:p>
    <w:p>
      <w:pPr>
        <w:spacing w:after="0" w:line="54"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BDO USA, P.C., Independent Registered Public Accounting Firm.</w:t>
      </w:r>
    </w:p>
    <w:p>
      <w:pPr>
        <w:spacing w:after="0" w:line="11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Consent of Latham &amp; Watkins LLP (contained in Exhibit 5.1).</w:t>
      </w:r>
    </w:p>
    <w:p>
      <w:pPr>
        <w:spacing w:after="0" w:line="11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24.1*</w:t>
        <w:tab/>
        <w:t>Power of Attorney (included in the signature page to this registration statement).</w:t>
      </w:r>
    </w:p>
    <w:p>
      <w:pPr>
        <w:spacing w:after="0" w:line="77"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7"/>
          <w:szCs w:val="17"/>
          <w:u w:val="single" w:color="auto"/>
          <w:color w:val="0000FF"/>
        </w:rPr>
        <w:t>Filing Fee Table</w:t>
      </w:r>
    </w:p>
    <w:p>
      <w:pPr>
        <w:spacing w:after="0" w:line="171"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240"/>
          </w:cols>
          <w:pgMar w:left="320" w:top="87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Tilly’s, Inc. certifies that it has reasonable grounds to believe that it meets all of the requirements for filing on Form S-8 and has duly caused and authorized the officers whose signatures appear below to sign this registration statement on its behalf, in the City of Irvine, State of California on June 26, 2026.</w:t>
      </w:r>
    </w:p>
    <w:p>
      <w:pPr>
        <w:spacing w:after="0" w:line="3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TILLY’S,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 /s/ Michael L.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14605</wp:posOffset>
            </wp:positionV>
            <wp:extent cx="168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Michael L. Henry</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Executive Vice President, Chief</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person whose signature appears below hereby authorizes and appoints Nathan Smith and Michael Henry as attorneys-in-fact and agents, each acting alone, with full powers of substitution to sign on his behalf, individually and in the capacities stated below, and to file any and all amendments, including post-effective amendments, to this registration statement and other documents in connection with the registration statement, with the Commission, granting to those attorneys-in-fact and agents full power and authority to perform any other act on behalf of the undersigned required to be done.</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this registration statement has been signed by the following persons in the capacities indicated as of June 26,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31"/>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Nathan Smith</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Nathan Smith</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Michael L. Henry</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(Principal Financial Officer)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L. Henry</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Hezy Shaked</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Executive Chairman, Chief Strategy Officer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Hezy Shaked</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292"/>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Teresa Aragones</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Teresa Aragones</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Doug Collier</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 Collier</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Seth Johnson</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Seth Johnson</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Janet Kerr</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Janet Kerr</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Michael Relich</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Relich</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320" w:type="dxa"/>
            <w:vAlign w:val="bottom"/>
          </w:tcPr>
          <w:p>
            <w:pPr>
              <w:spacing w:after="0"/>
              <w:rPr>
                <w:sz w:val="19"/>
                <w:szCs w:val="19"/>
                <w:color w:val="auto"/>
              </w:rPr>
            </w:pPr>
          </w:p>
        </w:tc>
      </w:tr>
    </w:tbl>
    <w:p>
      <w:pPr>
        <w:sectPr>
          <w:pgSz w:w="11900" w:h="16838" w:orient="portrait"/>
          <w:cols w:equalWidth="0" w:num="1">
            <w:col w:w="11200"/>
          </w:cols>
          <w:pgMar w:left="320" w:top="1224" w:right="379" w:bottom="1440" w:gutter="0" w:footer="0" w:header="0"/>
        </w:sectPr>
      </w:pPr>
    </w:p>
    <w:bookmarkStart w:id="4" w:name="page5"/>
    <w:bookmarkEnd w:id="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Tilly’s,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900" w:type="dxa"/>
            <w:vAlign w:val="bottom"/>
            <w:tcBorders>
              <w:top w:val="single" w:sz="8" w:color="auto"/>
              <w:left w:val="single" w:sz="8" w:color="auto"/>
              <w:right w:val="single" w:sz="8" w:color="auto"/>
            </w:tcBorders>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320" w:type="dxa"/>
            <w:vAlign w:val="bottom"/>
            <w:tcBorders>
              <w:top w:val="single" w:sz="8" w:color="auto"/>
              <w:right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Fee Calculation</w:t>
            </w:r>
          </w:p>
        </w:tc>
        <w:tc>
          <w:tcPr>
            <w:tcW w:w="400" w:type="dxa"/>
            <w:vAlign w:val="bottom"/>
            <w:tcBorders>
              <w:top w:val="single" w:sz="8" w:color="auto"/>
            </w:tcBorders>
          </w:tcPr>
          <w:p>
            <w:pPr>
              <w:spacing w:after="0"/>
              <w:rPr>
                <w:sz w:val="13"/>
                <w:szCs w:val="13"/>
                <w:color w:val="auto"/>
              </w:rPr>
            </w:pPr>
          </w:p>
        </w:tc>
        <w:tc>
          <w:tcPr>
            <w:tcW w:w="1820" w:type="dxa"/>
            <w:vAlign w:val="bottom"/>
            <w:tcBorders>
              <w:top w:val="single" w:sz="8" w:color="auto"/>
              <w:right w:val="single" w:sz="8" w:color="auto"/>
            </w:tcBorders>
            <w:vMerge w:val="restart"/>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260" w:type="dxa"/>
            <w:vAlign w:val="bottom"/>
            <w:tcBorders>
              <w:top w:val="single" w:sz="8" w:color="auto"/>
              <w:right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right w:val="single" w:sz="8" w:color="auto"/>
            </w:tcBorders>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20" w:type="dxa"/>
            <w:vAlign w:val="bottom"/>
            <w:tcBorders>
              <w:top w:val="single" w:sz="8" w:color="auto"/>
              <w:right w:val="single" w:sz="8" w:color="auto"/>
            </w:tcBorders>
          </w:tcPr>
          <w:p>
            <w:pPr>
              <w:jc w:val="right"/>
              <w:ind w:right="648"/>
              <w:spacing w:after="0" w:line="151" w:lineRule="exact"/>
              <w:rPr>
                <w:sz w:val="20"/>
                <w:szCs w:val="20"/>
                <w:color w:val="auto"/>
              </w:rPr>
            </w:pPr>
            <w:r>
              <w:rPr>
                <w:rFonts w:ascii="Times New Roman" w:cs="Times New Roman" w:eastAsia="Times New Roman" w:hAnsi="Times New Roman"/>
                <w:sz w:val="14"/>
                <w:szCs w:val="14"/>
                <w:b w:val="1"/>
                <w:bCs w:val="1"/>
                <w:color w:val="auto"/>
              </w:rPr>
              <w:t>Fee Rate</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95"/>
        </w:trPr>
        <w:tc>
          <w:tcPr>
            <w:tcW w:w="900" w:type="dxa"/>
            <w:vAlign w:val="bottom"/>
            <w:tcBorders>
              <w:left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32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400" w:type="dxa"/>
            <w:vAlign w:val="bottom"/>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9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1820" w:type="dxa"/>
            <w:vAlign w:val="bottom"/>
            <w:tcBorders>
              <w:right w:val="single" w:sz="8" w:color="auto"/>
            </w:tcBorders>
            <w:vMerge w:val="restart"/>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8"/>
                <w:szCs w:val="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right w:val="single" w:sz="8" w:color="auto"/>
            </w:tcBorders>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2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80"/>
        </w:trPr>
        <w:tc>
          <w:tcPr>
            <w:tcW w:w="90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00" w:type="dxa"/>
            <w:vAlign w:val="bottom"/>
            <w:tcBorders>
              <w:left w:val="single" w:sz="8" w:color="auto"/>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2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3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9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Equity</w:t>
            </w:r>
          </w:p>
        </w:tc>
        <w:tc>
          <w:tcPr>
            <w:tcW w:w="132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Class A common</w:t>
            </w:r>
          </w:p>
        </w:tc>
        <w:tc>
          <w:tcPr>
            <w:tcW w:w="120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rPr>
              <w:t>Rule 457(c) and</w:t>
            </w:r>
          </w:p>
        </w:tc>
        <w:tc>
          <w:tcPr>
            <w:tcW w:w="40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right w:val="single" w:sz="8" w:color="auto"/>
            </w:tcBorders>
          </w:tcPr>
          <w:p>
            <w:pPr>
              <w:jc w:val="right"/>
              <w:ind w:right="31"/>
              <w:spacing w:after="0" w:line="156" w:lineRule="exact"/>
              <w:rPr>
                <w:sz w:val="20"/>
                <w:szCs w:val="20"/>
                <w:color w:val="auto"/>
              </w:rPr>
            </w:pPr>
            <w:r>
              <w:rPr>
                <w:rFonts w:ascii="Times New Roman" w:cs="Times New Roman" w:eastAsia="Times New Roman" w:hAnsi="Times New Roman"/>
                <w:sz w:val="13"/>
                <w:szCs w:val="13"/>
                <w:color w:val="auto"/>
              </w:rPr>
              <w:t xml:space="preserve">2,500,000   </w:t>
            </w:r>
            <w:r>
              <w:rPr>
                <w:rFonts w:ascii="Times New Roman" w:cs="Times New Roman" w:eastAsia="Times New Roman" w:hAnsi="Times New Roman"/>
                <w:sz w:val="18"/>
                <w:szCs w:val="18"/>
                <w:color w:val="auto"/>
                <w:vertAlign w:val="superscript"/>
              </w:rPr>
              <w:t>(2)</w:t>
            </w: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4.3150</w:t>
            </w:r>
          </w:p>
        </w:tc>
        <w:tc>
          <w:tcPr>
            <w:tcW w:w="2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10,787,500</w:t>
            </w:r>
          </w:p>
        </w:tc>
        <w:tc>
          <w:tcPr>
            <w:tcW w:w="1320" w:type="dxa"/>
            <w:vAlign w:val="bottom"/>
            <w:tcBorders>
              <w:right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$138.10 per</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right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1,489.75</w:t>
            </w:r>
          </w:p>
        </w:tc>
        <w:tc>
          <w:tcPr>
            <w:tcW w:w="0" w:type="dxa"/>
            <w:vAlign w:val="bottom"/>
          </w:tcPr>
          <w:p>
            <w:pPr>
              <w:spacing w:after="0"/>
              <w:rPr>
                <w:sz w:val="1"/>
                <w:szCs w:val="1"/>
                <w:color w:val="auto"/>
              </w:rPr>
            </w:pPr>
          </w:p>
        </w:tc>
      </w:tr>
      <w:tr>
        <w:trPr>
          <w:trHeight w:val="98"/>
        </w:trPr>
        <w:tc>
          <w:tcPr>
            <w:tcW w:w="9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restart"/>
          </w:tcPr>
          <w:p>
            <w:pPr>
              <w:ind w:left="60"/>
              <w:spacing w:after="0" w:line="122" w:lineRule="exact"/>
              <w:rPr>
                <w:sz w:val="20"/>
                <w:szCs w:val="20"/>
                <w:color w:val="auto"/>
              </w:rPr>
            </w:pPr>
            <w:r>
              <w:rPr>
                <w:rFonts w:ascii="Times New Roman" w:cs="Times New Roman" w:eastAsia="Times New Roman" w:hAnsi="Times New Roman"/>
                <w:sz w:val="14"/>
                <w:szCs w:val="14"/>
                <w:color w:val="auto"/>
              </w:rPr>
              <w:t>stock, $0.001 par</w:t>
            </w:r>
          </w:p>
        </w:tc>
        <w:tc>
          <w:tcPr>
            <w:tcW w:w="1200" w:type="dxa"/>
            <w:vAlign w:val="bottom"/>
            <w:tcBorders>
              <w:right w:val="single" w:sz="8" w:color="auto"/>
            </w:tcBorders>
            <w:vMerge w:val="restart"/>
          </w:tcPr>
          <w:p>
            <w:pPr>
              <w:ind w:left="60"/>
              <w:spacing w:after="0" w:line="122" w:lineRule="exact"/>
              <w:rPr>
                <w:sz w:val="20"/>
                <w:szCs w:val="20"/>
                <w:color w:val="auto"/>
              </w:rPr>
            </w:pPr>
            <w:r>
              <w:rPr>
                <w:rFonts w:ascii="Times New Roman" w:cs="Times New Roman" w:eastAsia="Times New Roman" w:hAnsi="Times New Roman"/>
                <w:sz w:val="14"/>
                <w:szCs w:val="14"/>
                <w:color w:val="auto"/>
              </w:rPr>
              <w:t>Rule 457(h)</w:t>
            </w:r>
          </w:p>
        </w:tc>
        <w:tc>
          <w:tcPr>
            <w:tcW w:w="400" w:type="dxa"/>
            <w:vAlign w:val="bottom"/>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restart"/>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$1,000,000</w:t>
            </w:r>
          </w:p>
        </w:tc>
        <w:tc>
          <w:tcPr>
            <w:tcW w:w="16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900" w:type="dxa"/>
            <w:vAlign w:val="bottom"/>
            <w:tcBorders>
              <w:left w:val="single" w:sz="8" w:color="auto"/>
              <w:right w:val="single" w:sz="8" w:color="auto"/>
            </w:tcBorders>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1200" w:type="dxa"/>
            <w:vAlign w:val="bottom"/>
            <w:tcBorders>
              <w:right w:val="single" w:sz="8" w:color="auto"/>
            </w:tcBorders>
            <w:vMerge w:val="continue"/>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value per share</w:t>
            </w:r>
          </w:p>
        </w:tc>
        <w:tc>
          <w:tcPr>
            <w:tcW w:w="120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2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10,787,500</w:t>
            </w:r>
          </w:p>
        </w:tc>
        <w:tc>
          <w:tcPr>
            <w:tcW w:w="1320" w:type="dxa"/>
            <w:vAlign w:val="bottom"/>
            <w:tcBorders>
              <w:right w:val="single" w:sz="8" w:color="auto"/>
            </w:tcBorders>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1,489.75</w:t>
            </w: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2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70"/>
        </w:trPr>
        <w:tc>
          <w:tcPr>
            <w:tcW w:w="900" w:type="dxa"/>
            <w:vAlign w:val="bottom"/>
            <w:tcBorders>
              <w:left w:val="single" w:sz="8" w:color="auto"/>
            </w:tcBorders>
          </w:tcPr>
          <w:p>
            <w:pPr>
              <w:spacing w:after="0"/>
              <w:rPr>
                <w:sz w:val="6"/>
                <w:szCs w:val="6"/>
                <w:color w:val="auto"/>
              </w:rPr>
            </w:pPr>
          </w:p>
        </w:tc>
        <w:tc>
          <w:tcPr>
            <w:tcW w:w="1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900" w:type="dxa"/>
            <w:vAlign w:val="bottom"/>
            <w:tcBorders>
              <w:left w:val="single" w:sz="8" w:color="auto"/>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9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1,489.75</w:t>
            </w:r>
          </w:p>
        </w:tc>
        <w:tc>
          <w:tcPr>
            <w:tcW w:w="0" w:type="dxa"/>
            <w:vAlign w:val="bottom"/>
          </w:tcPr>
          <w:p>
            <w:pPr>
              <w:spacing w:after="0"/>
              <w:rPr>
                <w:sz w:val="1"/>
                <w:szCs w:val="1"/>
                <w:color w:val="auto"/>
              </w:rPr>
            </w:pPr>
          </w:p>
        </w:tc>
      </w:tr>
      <w:tr>
        <w:trPr>
          <w:trHeight w:val="37"/>
        </w:trPr>
        <w:tc>
          <w:tcPr>
            <w:tcW w:w="900" w:type="dxa"/>
            <w:vAlign w:val="bottom"/>
            <w:tcBorders>
              <w:left w:val="single" w:sz="8" w:color="auto"/>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20" w:right="220" w:hanging="318"/>
        <w:spacing w:after="0" w:line="312" w:lineRule="auto"/>
        <w:tabs>
          <w:tab w:leader="none" w:pos="7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72" w:lineRule="exact"/>
        <w:rPr>
          <w:rFonts w:ascii="Times New Roman" w:cs="Times New Roman" w:eastAsia="Times New Roman" w:hAnsi="Times New Roman"/>
          <w:sz w:val="17"/>
          <w:szCs w:val="17"/>
          <w:color w:val="auto"/>
        </w:rPr>
      </w:pPr>
    </w:p>
    <w:p>
      <w:pPr>
        <w:ind w:left="720" w:right="140" w:hanging="318"/>
        <w:spacing w:after="0" w:line="253" w:lineRule="auto"/>
        <w:tabs>
          <w:tab w:leader="none" w:pos="7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2,500,000 shares of the Class A common stock, par value $0.001 per share (the “Common Stock”), of Tilly’s, Inc. (the “Company”) available for issuance pursuant to awards that may be granted under The Tilly’s, Inc. Fourth Amended and Restated 2012 Equity and Incentive Award Plan (the “Plan”), which amended and restated the Tilly’s, Inc. Third Amended and Restated 2012 Equity and Incentive Award Plan to, inter alia, increase the authorized number of shares available for issuance pursuant to awards that may be granted under the Plan, which was approved by the stockholders of the Company on June 10, 2026. The Plan authorizes the issuance of 11,113,900 shares of Common Stock, of which 2,500,000 shares of Common Stock are being registered hereunder, 2,000,000 shares of Common Stock have been registered previously on a Form S-8 filed on July 25, 2025 (File No. 333-288957), 2,200,000 shares of Common Stock have been registered previously on a Form S-8 filed on July 8, 2020 (File No. 333-239756), 1,500,000 shares of Common Stock have been registered previously on a Form S-8 filed on September 10, 2014 (File No. 333-198676), and 2,913,900 shares of Common Stock have been registered previously on a Form S-8 filed on May 4, 2012 (File No. 333-181148).</w:t>
      </w:r>
    </w:p>
    <w:p>
      <w:pPr>
        <w:spacing w:after="0" w:line="126" w:lineRule="exact"/>
        <w:rPr>
          <w:rFonts w:ascii="Times New Roman" w:cs="Times New Roman" w:eastAsia="Times New Roman" w:hAnsi="Times New Roman"/>
          <w:sz w:val="18"/>
          <w:szCs w:val="18"/>
          <w:color w:val="auto"/>
        </w:rPr>
      </w:pPr>
    </w:p>
    <w:p>
      <w:pPr>
        <w:ind w:left="720" w:right="340" w:hanging="318"/>
        <w:spacing w:after="0" w:line="266" w:lineRule="auto"/>
        <w:tabs>
          <w:tab w:leader="none" w:pos="7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of 1933, as amended, and based upon the average of the high and low prices of the Common Stock as reported on the New York Stock Exchange on June 25, 2026.</w:t>
      </w:r>
    </w:p>
    <w:p>
      <w:pPr>
        <w:sectPr>
          <w:pgSz w:w="11900" w:h="16838" w:orient="portrait"/>
          <w:cols w:equalWidth="0" w:num="1">
            <w:col w:w="11260"/>
          </w:cols>
          <w:pgMar w:left="320" w:top="117" w:right="319" w:bottom="1440" w:gutter="0" w:footer="0" w:header="0"/>
        </w:sectPr>
      </w:pPr>
    </w:p>
    <w:bookmarkStart w:id="5" w:name="page6"/>
    <w:bookmarkEnd w:id="5"/>
    <w:tbl>
      <w:tblPr>
        <w:tblLayout w:type="fixed"/>
        <w:tblInd w:w="724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Arial" w:cs="Arial" w:eastAsia="Arial" w:hAnsi="Arial"/>
                <w:sz w:val="13"/>
                <w:szCs w:val="13"/>
                <w:color w:val="auto"/>
              </w:rPr>
              <w:t>650 Town Center Drive. 20th Floor Costa</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166"/>
        </w:trPr>
        <w:tc>
          <w:tcPr>
            <w:tcW w:w="2500" w:type="dxa"/>
            <w:vAlign w:val="bottom"/>
            <w:gridSpan w:val="2"/>
          </w:tcPr>
          <w:p>
            <w:pPr>
              <w:spacing w:after="0"/>
              <w:rPr>
                <w:sz w:val="20"/>
                <w:szCs w:val="20"/>
                <w:color w:val="auto"/>
              </w:rPr>
            </w:pPr>
            <w:r>
              <w:rPr>
                <w:rFonts w:ascii="Arial" w:cs="Arial" w:eastAsia="Arial" w:hAnsi="Arial"/>
                <w:sz w:val="13"/>
                <w:szCs w:val="13"/>
                <w:color w:val="auto"/>
              </w:rPr>
              <w:t>Mesa, California 92626-1925 Tel</w:t>
            </w:r>
          </w:p>
        </w:tc>
        <w:tc>
          <w:tcPr>
            <w:tcW w:w="1020" w:type="dxa"/>
            <w:vAlign w:val="bottom"/>
          </w:tcPr>
          <w:p>
            <w:pPr>
              <w:spacing w:after="0"/>
              <w:rPr>
                <w:sz w:val="14"/>
                <w:szCs w:val="14"/>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3"/>
                <w:szCs w:val="13"/>
                <w:color w:val="auto"/>
              </w:rPr>
              <w:t>+1.714.540.1235 Fax: +1.714.755.8290</w:t>
            </w:r>
          </w:p>
        </w:tc>
        <w:tc>
          <w:tcPr>
            <w:tcW w:w="1020" w:type="dxa"/>
            <w:vAlign w:val="bottom"/>
          </w:tcPr>
          <w:p>
            <w:pPr>
              <w:spacing w:after="0"/>
              <w:rPr>
                <w:sz w:val="16"/>
                <w:szCs w:val="16"/>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3"/>
                <w:szCs w:val="13"/>
                <w:color w:val="auto"/>
              </w:rPr>
              <w:t>www.lw.com</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7"/>
        </w:trPr>
        <w:tc>
          <w:tcPr>
            <w:tcW w:w="2500" w:type="dxa"/>
            <w:vAlign w:val="bottom"/>
            <w:gridSpan w:val="2"/>
          </w:tcPr>
          <w:p>
            <w:pPr>
              <w:spacing w:after="0"/>
              <w:rPr>
                <w:sz w:val="20"/>
                <w:szCs w:val="20"/>
                <w:color w:val="auto"/>
              </w:rPr>
            </w:pPr>
            <w:r>
              <w:rPr>
                <w:rFonts w:ascii="Arial" w:cs="Arial" w:eastAsia="Arial" w:hAnsi="Arial"/>
                <w:sz w:val="13"/>
                <w:szCs w:val="13"/>
                <w:color w:val="auto"/>
              </w:rPr>
              <w:t>FIRM/ AFFILIATE OFFICES Austin Milan</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Beijing</w:t>
            </w:r>
          </w:p>
        </w:tc>
        <w:tc>
          <w:tcPr>
            <w:tcW w:w="1480" w:type="dxa"/>
            <w:vAlign w:val="bottom"/>
          </w:tcPr>
          <w:p>
            <w:pPr>
              <w:ind w:left="320"/>
              <w:spacing w:after="0"/>
              <w:rPr>
                <w:sz w:val="20"/>
                <w:szCs w:val="20"/>
                <w:color w:val="auto"/>
              </w:rPr>
            </w:pPr>
            <w:r>
              <w:rPr>
                <w:rFonts w:ascii="Arial" w:cs="Arial" w:eastAsia="Arial" w:hAnsi="Arial"/>
                <w:sz w:val="13"/>
                <w:szCs w:val="13"/>
                <w:color w:val="auto"/>
              </w:rPr>
              <w:t>Munich</w:t>
            </w:r>
          </w:p>
        </w:tc>
        <w:tc>
          <w:tcPr>
            <w:tcW w:w="1020" w:type="dxa"/>
            <w:vAlign w:val="bottom"/>
          </w:tcPr>
          <w:p>
            <w:pPr>
              <w:spacing w:after="0"/>
              <w:rPr>
                <w:sz w:val="22"/>
                <w:szCs w:val="22"/>
                <w:color w:val="auto"/>
              </w:rPr>
            </w:pPr>
          </w:p>
        </w:tc>
      </w:tr>
      <w:tr>
        <w:trPr>
          <w:trHeight w:val="256"/>
        </w:trPr>
        <w:tc>
          <w:tcPr>
            <w:tcW w:w="1020" w:type="dxa"/>
            <w:vAlign w:val="bottom"/>
          </w:tcPr>
          <w:p>
            <w:pPr>
              <w:spacing w:after="0"/>
              <w:rPr>
                <w:sz w:val="20"/>
                <w:szCs w:val="20"/>
                <w:color w:val="auto"/>
              </w:rPr>
            </w:pPr>
            <w:r>
              <w:rPr>
                <w:rFonts w:ascii="Arial" w:cs="Arial" w:eastAsia="Arial" w:hAnsi="Arial"/>
                <w:sz w:val="13"/>
                <w:szCs w:val="13"/>
                <w:color w:val="auto"/>
              </w:rPr>
              <w:t>Boston</w:t>
            </w:r>
          </w:p>
        </w:tc>
        <w:tc>
          <w:tcPr>
            <w:tcW w:w="1480" w:type="dxa"/>
            <w:vAlign w:val="bottom"/>
          </w:tcPr>
          <w:p>
            <w:pPr>
              <w:ind w:left="320"/>
              <w:spacing w:after="0"/>
              <w:rPr>
                <w:sz w:val="20"/>
                <w:szCs w:val="20"/>
                <w:color w:val="auto"/>
              </w:rPr>
            </w:pPr>
            <w:r>
              <w:rPr>
                <w:rFonts w:ascii="Arial" w:cs="Arial" w:eastAsia="Arial" w:hAnsi="Arial"/>
                <w:sz w:val="13"/>
                <w:szCs w:val="13"/>
                <w:color w:val="auto"/>
              </w:rPr>
              <w:t>New York</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Brussels</w:t>
            </w:r>
          </w:p>
        </w:tc>
        <w:tc>
          <w:tcPr>
            <w:tcW w:w="1480" w:type="dxa"/>
            <w:vAlign w:val="bottom"/>
          </w:tcPr>
          <w:p>
            <w:pPr>
              <w:ind w:left="320"/>
              <w:spacing w:after="0"/>
              <w:rPr>
                <w:sz w:val="20"/>
                <w:szCs w:val="20"/>
                <w:color w:val="auto"/>
              </w:rPr>
            </w:pPr>
            <w:r>
              <w:rPr>
                <w:rFonts w:ascii="Arial" w:cs="Arial" w:eastAsia="Arial" w:hAnsi="Arial"/>
                <w:sz w:val="13"/>
                <w:szCs w:val="13"/>
                <w:color w:val="auto"/>
              </w:rPr>
              <w:t>Orange County</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Century City</w:t>
            </w:r>
          </w:p>
        </w:tc>
        <w:tc>
          <w:tcPr>
            <w:tcW w:w="1480" w:type="dxa"/>
            <w:vAlign w:val="bottom"/>
          </w:tcPr>
          <w:p>
            <w:pPr>
              <w:ind w:left="320"/>
              <w:spacing w:after="0"/>
              <w:rPr>
                <w:sz w:val="20"/>
                <w:szCs w:val="20"/>
                <w:color w:val="auto"/>
              </w:rPr>
            </w:pPr>
            <w:r>
              <w:rPr>
                <w:rFonts w:ascii="Arial" w:cs="Arial" w:eastAsia="Arial" w:hAnsi="Arial"/>
                <w:sz w:val="13"/>
                <w:szCs w:val="13"/>
                <w:color w:val="auto"/>
              </w:rPr>
              <w:t>Paris</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Chicago</w:t>
            </w:r>
          </w:p>
        </w:tc>
        <w:tc>
          <w:tcPr>
            <w:tcW w:w="1480" w:type="dxa"/>
            <w:vAlign w:val="bottom"/>
          </w:tcPr>
          <w:p>
            <w:pPr>
              <w:ind w:left="320"/>
              <w:spacing w:after="0"/>
              <w:rPr>
                <w:sz w:val="20"/>
                <w:szCs w:val="20"/>
                <w:color w:val="auto"/>
              </w:rPr>
            </w:pPr>
            <w:r>
              <w:rPr>
                <w:rFonts w:ascii="Arial" w:cs="Arial" w:eastAsia="Arial" w:hAnsi="Arial"/>
                <w:sz w:val="13"/>
                <w:szCs w:val="13"/>
                <w:color w:val="auto"/>
              </w:rPr>
              <w:t>Riyadh</w:t>
            </w:r>
          </w:p>
        </w:tc>
        <w:tc>
          <w:tcPr>
            <w:tcW w:w="1020" w:type="dxa"/>
            <w:vAlign w:val="bottom"/>
          </w:tcPr>
          <w:p>
            <w:pPr>
              <w:spacing w:after="0"/>
              <w:rPr>
                <w:sz w:val="22"/>
                <w:szCs w:val="22"/>
                <w:color w:val="auto"/>
              </w:rPr>
            </w:pPr>
          </w:p>
        </w:tc>
      </w:tr>
      <w:tr>
        <w:trPr>
          <w:trHeight w:val="256"/>
        </w:trPr>
        <w:tc>
          <w:tcPr>
            <w:tcW w:w="1020" w:type="dxa"/>
            <w:vAlign w:val="bottom"/>
          </w:tcPr>
          <w:p>
            <w:pPr>
              <w:spacing w:after="0"/>
              <w:rPr>
                <w:sz w:val="20"/>
                <w:szCs w:val="20"/>
                <w:color w:val="auto"/>
              </w:rPr>
            </w:pPr>
            <w:r>
              <w:rPr>
                <w:rFonts w:ascii="Arial" w:cs="Arial" w:eastAsia="Arial" w:hAnsi="Arial"/>
                <w:sz w:val="13"/>
                <w:szCs w:val="13"/>
                <w:color w:val="auto"/>
              </w:rPr>
              <w:t>Dubai</w:t>
            </w:r>
          </w:p>
        </w:tc>
        <w:tc>
          <w:tcPr>
            <w:tcW w:w="1480" w:type="dxa"/>
            <w:vAlign w:val="bottom"/>
          </w:tcPr>
          <w:p>
            <w:pPr>
              <w:ind w:left="320"/>
              <w:spacing w:after="0"/>
              <w:rPr>
                <w:sz w:val="20"/>
                <w:szCs w:val="20"/>
                <w:color w:val="auto"/>
              </w:rPr>
            </w:pPr>
            <w:r>
              <w:rPr>
                <w:rFonts w:ascii="Arial" w:cs="Arial" w:eastAsia="Arial" w:hAnsi="Arial"/>
                <w:sz w:val="13"/>
                <w:szCs w:val="13"/>
                <w:color w:val="auto"/>
              </w:rPr>
              <w:t>San Diego</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Dusseldorf</w:t>
            </w:r>
          </w:p>
        </w:tc>
        <w:tc>
          <w:tcPr>
            <w:tcW w:w="1480" w:type="dxa"/>
            <w:vAlign w:val="bottom"/>
          </w:tcPr>
          <w:p>
            <w:pPr>
              <w:ind w:left="320"/>
              <w:spacing w:after="0"/>
              <w:rPr>
                <w:sz w:val="20"/>
                <w:szCs w:val="20"/>
                <w:color w:val="auto"/>
              </w:rPr>
            </w:pPr>
            <w:r>
              <w:rPr>
                <w:rFonts w:ascii="Arial" w:cs="Arial" w:eastAsia="Arial" w:hAnsi="Arial"/>
                <w:sz w:val="13"/>
                <w:szCs w:val="13"/>
                <w:color w:val="auto"/>
              </w:rPr>
              <w:t>San Francisco</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Frankfurt</w:t>
            </w:r>
          </w:p>
        </w:tc>
        <w:tc>
          <w:tcPr>
            <w:tcW w:w="1480" w:type="dxa"/>
            <w:vAlign w:val="bottom"/>
          </w:tcPr>
          <w:p>
            <w:pPr>
              <w:ind w:left="320"/>
              <w:spacing w:after="0"/>
              <w:rPr>
                <w:sz w:val="20"/>
                <w:szCs w:val="20"/>
                <w:color w:val="auto"/>
              </w:rPr>
            </w:pPr>
            <w:r>
              <w:rPr>
                <w:rFonts w:ascii="Arial" w:cs="Arial" w:eastAsia="Arial" w:hAnsi="Arial"/>
                <w:sz w:val="13"/>
                <w:szCs w:val="13"/>
                <w:color w:val="auto"/>
              </w:rPr>
              <w:t>Seoul</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Hamburg</w:t>
            </w:r>
          </w:p>
        </w:tc>
        <w:tc>
          <w:tcPr>
            <w:tcW w:w="1480" w:type="dxa"/>
            <w:vAlign w:val="bottom"/>
          </w:tcPr>
          <w:p>
            <w:pPr>
              <w:ind w:left="320"/>
              <w:spacing w:after="0"/>
              <w:rPr>
                <w:sz w:val="20"/>
                <w:szCs w:val="20"/>
                <w:color w:val="auto"/>
              </w:rPr>
            </w:pPr>
            <w:r>
              <w:rPr>
                <w:rFonts w:ascii="Arial" w:cs="Arial" w:eastAsia="Arial" w:hAnsi="Arial"/>
                <w:sz w:val="13"/>
                <w:szCs w:val="13"/>
                <w:color w:val="auto"/>
              </w:rPr>
              <w:t>Silicon Valley</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Hong Kong</w:t>
            </w:r>
          </w:p>
        </w:tc>
        <w:tc>
          <w:tcPr>
            <w:tcW w:w="1480" w:type="dxa"/>
            <w:vAlign w:val="bottom"/>
          </w:tcPr>
          <w:p>
            <w:pPr>
              <w:ind w:left="320"/>
              <w:spacing w:after="0"/>
              <w:rPr>
                <w:sz w:val="20"/>
                <w:szCs w:val="20"/>
                <w:color w:val="auto"/>
              </w:rPr>
            </w:pPr>
            <w:r>
              <w:rPr>
                <w:rFonts w:ascii="Arial" w:cs="Arial" w:eastAsia="Arial" w:hAnsi="Arial"/>
                <w:sz w:val="13"/>
                <w:szCs w:val="13"/>
                <w:color w:val="auto"/>
              </w:rPr>
              <w:t>Singapore</w:t>
            </w:r>
          </w:p>
        </w:tc>
        <w:tc>
          <w:tcPr>
            <w:tcW w:w="1020" w:type="dxa"/>
            <w:vAlign w:val="bottom"/>
          </w:tcPr>
          <w:p>
            <w:pPr>
              <w:spacing w:after="0"/>
              <w:rPr>
                <w:sz w:val="22"/>
                <w:szCs w:val="22"/>
                <w:color w:val="auto"/>
              </w:rPr>
            </w:pPr>
          </w:p>
        </w:tc>
      </w:tr>
      <w:tr>
        <w:trPr>
          <w:trHeight w:val="256"/>
        </w:trPr>
        <w:tc>
          <w:tcPr>
            <w:tcW w:w="1020" w:type="dxa"/>
            <w:vAlign w:val="bottom"/>
          </w:tcPr>
          <w:p>
            <w:pPr>
              <w:spacing w:after="0"/>
              <w:rPr>
                <w:sz w:val="20"/>
                <w:szCs w:val="20"/>
                <w:color w:val="auto"/>
              </w:rPr>
            </w:pPr>
            <w:r>
              <w:rPr>
                <w:rFonts w:ascii="Arial" w:cs="Arial" w:eastAsia="Arial" w:hAnsi="Arial"/>
                <w:sz w:val="13"/>
                <w:szCs w:val="13"/>
                <w:color w:val="auto"/>
              </w:rPr>
              <w:t>Houston</w:t>
            </w:r>
          </w:p>
        </w:tc>
        <w:tc>
          <w:tcPr>
            <w:tcW w:w="1480" w:type="dxa"/>
            <w:vAlign w:val="bottom"/>
          </w:tcPr>
          <w:p>
            <w:pPr>
              <w:ind w:left="320"/>
              <w:spacing w:after="0"/>
              <w:rPr>
                <w:sz w:val="20"/>
                <w:szCs w:val="20"/>
                <w:color w:val="auto"/>
              </w:rPr>
            </w:pPr>
            <w:r>
              <w:rPr>
                <w:rFonts w:ascii="Arial" w:cs="Arial" w:eastAsia="Arial" w:hAnsi="Arial"/>
                <w:sz w:val="13"/>
                <w:szCs w:val="13"/>
                <w:color w:val="auto"/>
              </w:rPr>
              <w:t>Tel Aviv</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London</w:t>
            </w:r>
          </w:p>
        </w:tc>
        <w:tc>
          <w:tcPr>
            <w:tcW w:w="1480" w:type="dxa"/>
            <w:vAlign w:val="bottom"/>
          </w:tcPr>
          <w:p>
            <w:pPr>
              <w:ind w:left="320"/>
              <w:spacing w:after="0"/>
              <w:rPr>
                <w:sz w:val="20"/>
                <w:szCs w:val="20"/>
                <w:color w:val="auto"/>
              </w:rPr>
            </w:pPr>
            <w:r>
              <w:rPr>
                <w:rFonts w:ascii="Arial" w:cs="Arial" w:eastAsia="Arial" w:hAnsi="Arial"/>
                <w:sz w:val="13"/>
                <w:szCs w:val="13"/>
                <w:color w:val="auto"/>
              </w:rPr>
              <w:t>Tokyo</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Los Angeles</w:t>
            </w:r>
          </w:p>
        </w:tc>
        <w:tc>
          <w:tcPr>
            <w:tcW w:w="1480" w:type="dxa"/>
            <w:vAlign w:val="bottom"/>
          </w:tcPr>
          <w:p>
            <w:pPr>
              <w:ind w:left="320"/>
              <w:spacing w:after="0"/>
              <w:rPr>
                <w:sz w:val="20"/>
                <w:szCs w:val="20"/>
                <w:color w:val="auto"/>
              </w:rPr>
            </w:pPr>
            <w:r>
              <w:rPr>
                <w:rFonts w:ascii="Arial" w:cs="Arial" w:eastAsia="Arial" w:hAnsi="Arial"/>
                <w:sz w:val="13"/>
                <w:szCs w:val="13"/>
                <w:color w:val="auto"/>
              </w:rPr>
              <w:t>Washington D.C.</w:t>
            </w:r>
          </w:p>
        </w:tc>
        <w:tc>
          <w:tcPr>
            <w:tcW w:w="1020" w:type="dxa"/>
            <w:vAlign w:val="bottom"/>
          </w:tcPr>
          <w:p>
            <w:pPr>
              <w:spacing w:after="0"/>
              <w:rPr>
                <w:sz w:val="22"/>
                <w:szCs w:val="22"/>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3"/>
                <w:szCs w:val="13"/>
                <w:color w:val="auto"/>
              </w:rPr>
              <w:t>Madrid</w:t>
            </w:r>
          </w:p>
        </w:tc>
        <w:tc>
          <w:tcPr>
            <w:tcW w:w="148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1388745" cy="93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Tilly’s, Inc.</w:t>
      </w:r>
    </w:p>
    <w:p>
      <w:pPr>
        <w:spacing w:after="0" w:line="16" w:lineRule="exact"/>
        <w:rPr>
          <w:sz w:val="20"/>
          <w:szCs w:val="20"/>
          <w:color w:val="auto"/>
        </w:rPr>
      </w:pPr>
    </w:p>
    <w:p>
      <w:pPr>
        <w:ind w:right="9940" w:firstLine="8"/>
        <w:spacing w:after="0" w:line="243"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Whatney Irvine, CA 92618</w:t>
      </w:r>
    </w:p>
    <w:p>
      <w:pPr>
        <w:spacing w:after="0" w:line="21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Registration Statement on Form S-8 for Tilly’s, Inc.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Tilly’s, Inc. Fourth Amended and Restated 2012 Equity and Incentive Award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acted as special counsel to Tilly’s,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by the Company of 2,500,000 shares of Class A common stock of the Company,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issuable under the Tilly’s, Inc. Fourth Amended and Restated 2012 Equity and Incentive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Shares are included in a registration statement on Form S-8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June 26, 2026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we express no opinion with respect to any other laws.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Plan’s participants, and have been issued by the Company for legal consideration in the circumstances contemplated by the Plan, assuming in each case that the individual issuances, grants or awards under the Plan are duly authorized by all necessary corporate action of the Company and duly issued, granted or awarded and exercised in accordance with the requirements of law and the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ectPr>
          <w:pgSz w:w="11900" w:h="16838" w:orient="portrait"/>
          <w:cols w:equalWidth="0" w:num="1">
            <w:col w:w="11220"/>
          </w:cols>
          <w:pgMar w:left="320" w:top="198" w:right="359" w:bottom="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w:t>
      </w:r>
    </w:p>
    <w:p>
      <w:pPr>
        <w:sectPr>
          <w:pgSz w:w="11900" w:h="16838" w:orient="portrait"/>
          <w:cols w:equalWidth="0" w:num="1">
            <w:col w:w="10640"/>
          </w:cols>
          <w:pgMar w:left="320" w:top="121" w:right="9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the Registration Statement. In giving such consent, we do not thereby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0580"/>
          </w:cols>
          <w:pgMar w:left="320" w:top="1417" w:right="9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Tilly's,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California</w:t>
      </w:r>
    </w:p>
    <w:p>
      <w:pPr>
        <w:spacing w:after="0" w:line="2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0"/>
          <w:szCs w:val="20"/>
          <w:color w:val="auto"/>
        </w:rPr>
        <w:t>We hereby consent to the incorporation by reference in this Registration Statement of our report dated April 9, 2026, relating to the consolidated financial statements of Tilly's, Inc. (the Company) appearing in the Company's Annual Report on Form 10-K for the period ended January 31, 2026.</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0"/>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4" Type="http://schemas.openxmlformats.org/officeDocument/2006/relationships/image" Target="media/image2.png"/><Relationship Id="rId15" Type="http://schemas.openxmlformats.org/officeDocument/2006/relationships/image" Target="media/image3.jpeg"/><Relationship Id="rId9" Type="http://schemas.openxmlformats.org/officeDocument/2006/relationships/hyperlink" Target="https://www.sec.gov/Archives/edgar/data/1524025/000119312511242512/dex31.htm" TargetMode="External"/><Relationship Id="rId10" Type="http://schemas.openxmlformats.org/officeDocument/2006/relationships/hyperlink" Target="https://www.sec.gov/Archives/edgar/data/1524025/000162828024009692/fourthamendedandrestatedby.htm" TargetMode="External"/><Relationship Id="rId11" Type="http://schemas.openxmlformats.org/officeDocument/2006/relationships/hyperlink" Target="https://www.sec.gov/Archives/edgar/data/1524025/000162828020009225/tillys-secondamendedandres.htm" TargetMode="External"/><Relationship Id="rId12" Type="http://schemas.openxmlformats.org/officeDocument/2006/relationships/hyperlink" Target="https://www.sec.gov/Archives/edgar/data/1524025/000162828020004436/descriptionoftillysincsecu.htm" TargetMode="External"/><Relationship Id="rId13" Type="http://schemas.openxmlformats.org/officeDocument/2006/relationships/hyperlink" Target="https://www.sec.gov/ix?doc=/Archives/edgar/data/0001524025/000162828026025880/tlys-20260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2026-06-26T17:00:32Z</dcterms:created>
  <dcterms:modified xsi:type="dcterms:W3CDTF">2026-06-26T17:00:32Z</dcterms:modified>
</cp:coreProperties>
</file>