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Fund 1 Investments, LLC</w:t>
              </w:r>
            </w:hyperlink>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TILLY'S,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TLYS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70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70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54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16"/>
                <w:szCs w:val="16"/>
                <w:color w:val="auto"/>
              </w:rPr>
            </w:pPr>
          </w:p>
        </w:tc>
        <w:tc>
          <w:tcPr>
            <w:tcW w:w="1320" w:type="dxa"/>
            <w:vAlign w:val="bottom"/>
            <w:gridSpan w:val="4"/>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100 CARR 115</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10/03/2025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UNIT 1900</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11"/>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RINCON</w:t>
            </w:r>
          </w:p>
        </w:tc>
        <w:tc>
          <w:tcPr>
            <w:tcW w:w="1620" w:type="dxa"/>
            <w:vAlign w:val="bottom"/>
            <w:gridSpan w:val="3"/>
          </w:tcPr>
          <w:p>
            <w:pPr>
              <w:ind w:left="540"/>
              <w:spacing w:after="0" w:line="189" w:lineRule="exact"/>
              <w:rPr>
                <w:sz w:val="20"/>
                <w:szCs w:val="20"/>
                <w:color w:val="auto"/>
              </w:rPr>
            </w:pPr>
            <w:r>
              <w:rPr>
                <w:rFonts w:ascii="Times New Roman" w:cs="Times New Roman" w:eastAsia="Times New Roman" w:hAnsi="Times New Roman"/>
                <w:sz w:val="17"/>
                <w:szCs w:val="17"/>
                <w:color w:val="0000FF"/>
              </w:rPr>
              <w:t>PR</w:t>
            </w:r>
          </w:p>
        </w:tc>
        <w:tc>
          <w:tcPr>
            <w:tcW w:w="134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7"/>
                <w:szCs w:val="17"/>
                <w:color w:val="0000FF"/>
              </w:rPr>
              <w:t>00677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54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ind w:left="3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7"/>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38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8"/>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260" w:type="dxa"/>
            <w:vAlign w:val="bottom"/>
          </w:tcPr>
          <w:p>
            <w:pPr>
              <w:spacing w:after="0"/>
              <w:rPr>
                <w:sz w:val="11"/>
                <w:szCs w:val="11"/>
                <w:color w:val="auto"/>
              </w:rPr>
            </w:pP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4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6"/>
                <w:szCs w:val="6"/>
                <w:color w:val="auto"/>
              </w:rPr>
            </w:pPr>
          </w:p>
        </w:tc>
        <w:tc>
          <w:tcPr>
            <w:tcW w:w="1260" w:type="dxa"/>
            <w:vAlign w:val="bottom"/>
            <w:gridSpan w:val="4"/>
            <w:vMerge w:val="restart"/>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 $0.001 par</w:t>
            </w:r>
          </w:p>
        </w:tc>
        <w:tc>
          <w:tcPr>
            <w:tcW w:w="1240" w:type="dxa"/>
            <w:vAlign w:val="bottom"/>
            <w:gridSpan w:val="4"/>
            <w:vMerge w:val="restart"/>
          </w:tcPr>
          <w:p>
            <w:pPr>
              <w:ind w:left="420"/>
              <w:spacing w:after="0"/>
              <w:rPr>
                <w:sz w:val="20"/>
                <w:szCs w:val="20"/>
                <w:color w:val="auto"/>
              </w:rPr>
            </w:pPr>
            <w:r>
              <w:rPr>
                <w:rFonts w:ascii="Times New Roman" w:cs="Times New Roman" w:eastAsia="Times New Roman" w:hAnsi="Times New Roman"/>
                <w:sz w:val="17"/>
                <w:szCs w:val="17"/>
                <w:color w:val="0000FF"/>
              </w:rPr>
              <w:t>10/03/2025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116,611</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1"/>
                <w:szCs w:val="21"/>
                <w:color w:val="auto"/>
              </w:rPr>
            </w:pPr>
          </w:p>
        </w:tc>
        <w:tc>
          <w:tcPr>
            <w:tcW w:w="11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8,058,268</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21"/>
                <w:szCs w:val="21"/>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value per share</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480" w:type="dxa"/>
            <w:vAlign w:val="bottom"/>
            <w:tcBorders>
              <w:bottom w:val="single" w:sz="8" w:color="2C2C2C"/>
            </w:tcBorders>
            <w:gridSpan w:val="3"/>
            <w:vMerge w:val="continue"/>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0" w:type="dxa"/>
            <w:vAlign w:val="bottom"/>
            <w:gridSpan w:val="22"/>
          </w:tcPr>
          <w:p>
            <w:pPr>
              <w:jc w:val="right"/>
              <w:ind w:right="3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60" w:type="dxa"/>
            <w:vAlign w:val="bottom"/>
            <w:gridSpan w:val="1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Fund 1 Investments, LLC</w:t>
              </w:r>
            </w:hyperlink>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 CARR 115</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UNIT 1900</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RINCON</w:t>
            </w:r>
          </w:p>
        </w:tc>
        <w:tc>
          <w:tcPr>
            <w:tcW w:w="7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00677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Pleasant Lake Partners LLC</w:t>
              </w:r>
            </w:hyperlink>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100 CARR 115 UNIT 1900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RINCON</w:t>
            </w:r>
          </w:p>
        </w:tc>
        <w:tc>
          <w:tcPr>
            <w:tcW w:w="7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00677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PLP Funds Master Fund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-134620</wp:posOffset>
            </wp:positionV>
            <wp:extent cx="2809240" cy="1485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485265"/>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360"/>
              <w:spacing w:after="0"/>
              <w:rPr>
                <w:sz w:val="20"/>
                <w:szCs w:val="20"/>
                <w:color w:val="auto"/>
              </w:rPr>
            </w:pPr>
            <w:r>
              <w:rPr>
                <w:rFonts w:ascii="Arial" w:cs="Arial" w:eastAsia="Arial" w:hAnsi="Arial"/>
                <w:sz w:val="13"/>
                <w:szCs w:val="13"/>
                <w:color w:val="auto"/>
              </w:rPr>
              <w:t>(First)</w:t>
            </w:r>
          </w:p>
        </w:tc>
        <w:tc>
          <w:tcPr>
            <w:tcW w:w="18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 CARR 115 UNIT 1900</w:t>
            </w:r>
          </w:p>
        </w:tc>
        <w:tc>
          <w:tcPr>
            <w:tcW w:w="18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RINCON</w:t>
            </w:r>
          </w:p>
        </w:tc>
        <w:tc>
          <w:tcPr>
            <w:tcW w:w="13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PR</w:t>
            </w:r>
          </w:p>
        </w:tc>
        <w:tc>
          <w:tcPr>
            <w:tcW w:w="18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00677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360"/>
              <w:spacing w:after="0"/>
              <w:rPr>
                <w:sz w:val="20"/>
                <w:szCs w:val="20"/>
                <w:color w:val="auto"/>
              </w:rPr>
            </w:pPr>
            <w:r>
              <w:rPr>
                <w:rFonts w:ascii="Arial" w:cs="Arial" w:eastAsia="Arial" w:hAnsi="Arial"/>
                <w:sz w:val="13"/>
                <w:szCs w:val="13"/>
                <w:color w:val="auto"/>
              </w:rPr>
              <w:t>(State)</w:t>
            </w:r>
          </w:p>
        </w:tc>
        <w:tc>
          <w:tcPr>
            <w:tcW w:w="18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reflects a distribution of shares to certain unaffiliated limited partners on a pro rata basis for no consideration.</w:t>
      </w:r>
    </w:p>
    <w:p>
      <w:pPr>
        <w:spacing w:after="0" w:line="5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reported herein are held for the benefit of PLP Funds Master Fund LP (the "Master Fund") and additional private investment vehicles for which Pleasant Lake Partners LLC ("PLP") serves as investment adviser. Fund 1 Investments, LLC ("Fund 1") serves as managing member of PLP. Jonathan Lennon (together with Fund 1, PLP and Master Fund, the "Reporting Persons") serves as managing member of Fund 1. Each of the Reporting Persons disclaims beneficial ownership of the shares reported herein except to the extent of its or his pecuniary interest therein.</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held for the account of the Master Fund.</w:t>
      </w:r>
    </w:p>
    <w:p>
      <w:pPr>
        <w:sectPr>
          <w:pgSz w:w="11900" w:h="16838" w:orient="portrait"/>
          <w:cols w:equalWidth="0" w:num="1">
            <w:col w:w="10860"/>
          </w:cols>
          <w:pgMar w:left="500" w:top="111" w:right="53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Fund 1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1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Benjamin C. Cable,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Pleasant Lake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34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Fund 1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Benjamin C. Cable,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58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PLP Funds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3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Pleasant Lake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0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Investment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Fund 1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Managing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Benjamin C. Cable,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8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2120"/>
          </w:cols>
          <w:pgMar w:left="500" w:top="111"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13" Type="http://schemas.openxmlformats.org/officeDocument/2006/relationships/hyperlink" Target="http://www.sec.gov/cgi-bin/browse-edgar?action=getcompany&amp;CIK=0001959730" TargetMode="External"/><Relationship Id="rId14" Type="http://schemas.openxmlformats.org/officeDocument/2006/relationships/hyperlink" Target="http://www.sec.gov/cgi-bin/browse-edgar?action=getcompany&amp;CIK=0001524025" TargetMode="External"/><Relationship Id="rId15" Type="http://schemas.openxmlformats.org/officeDocument/2006/relationships/hyperlink" Target="http://www.sec.gov/cgi-bin/browse-edgar?action=getcompany&amp;CIK=0001580144" TargetMode="External"/><Relationship Id="rId17" Type="http://schemas.openxmlformats.org/officeDocument/2006/relationships/hyperlink" Target="http://www.sec.gov/cgi-bin/browse-edgar?action=getcompany&amp;CIK=00020520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2025-10-07T16:21:18Z</dcterms:created>
  <dcterms:modified xsi:type="dcterms:W3CDTF">2025-10-07T16:21:18Z</dcterms:modified>
</cp:coreProperties>
</file>