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200025</wp:posOffset>
            </wp:positionH>
            <wp:positionV relativeFrom="page">
              <wp:posOffset>419100</wp:posOffset>
            </wp:positionV>
            <wp:extent cx="7148195"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8195" cy="6985"/>
                    </a:xfrm>
                    <a:prstGeom prst="rect">
                      <a:avLst/>
                    </a:prstGeom>
                    <a:noFill/>
                  </pic:spPr>
                </pic:pic>
              </a:graphicData>
            </a:graphic>
          </wp:anchor>
        </w:drawing>
        <w:drawing>
          <wp:anchor simplePos="0" relativeHeight="251657728" behindDoc="1" locked="0" layoutInCell="0" allowOverlap="1">
            <wp:simplePos x="0" y="0"/>
            <wp:positionH relativeFrom="page">
              <wp:posOffset>200025</wp:posOffset>
            </wp:positionH>
            <wp:positionV relativeFrom="page">
              <wp:posOffset>439420</wp:posOffset>
            </wp:positionV>
            <wp:extent cx="7148195"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8195" cy="6985"/>
                    </a:xfrm>
                    <a:prstGeom prst="rect">
                      <a:avLst/>
                    </a:prstGeom>
                    <a:noFill/>
                  </pic:spPr>
                </pic:pic>
              </a:graphicData>
            </a:graphic>
          </wp:anchor>
        </w:drawing>
        <w:t>UNITED STATES</w:t>
      </w:r>
    </w:p>
    <w:p>
      <w:pPr>
        <w:spacing w:after="0" w:line="49"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20"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6"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14"/>
          <w:szCs w:val="14"/>
          <w:color w:val="auto"/>
        </w:rPr>
        <w:t>_______________________________________________</w:t>
      </w:r>
    </w:p>
    <w:p>
      <w:pPr>
        <w:spacing w:after="0" w:line="107"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49"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14"/>
          <w:szCs w:val="14"/>
          <w:color w:val="auto"/>
        </w:rPr>
        <w:t>_______________________________________________</w:t>
      </w:r>
    </w:p>
    <w:p>
      <w:pPr>
        <w:spacing w:after="0" w:line="121"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7"/>
          <w:szCs w:val="17"/>
          <w:b w:val="1"/>
          <w:bCs w:val="1"/>
          <w:color w:val="auto"/>
        </w:rPr>
        <w:t>CURRENT REPORT</w:t>
      </w:r>
    </w:p>
    <w:p>
      <w:pPr>
        <w:spacing w:after="0" w:line="28"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7"/>
          <w:szCs w:val="17"/>
          <w:b w:val="1"/>
          <w:bCs w:val="1"/>
          <w:color w:val="auto"/>
        </w:rPr>
        <w:t>Pursuant to Section 13 or 15(d) of the</w:t>
      </w:r>
    </w:p>
    <w:p>
      <w:pPr>
        <w:spacing w:after="0" w:line="6"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7"/>
          <w:szCs w:val="17"/>
          <w:b w:val="1"/>
          <w:bCs w:val="1"/>
          <w:color w:val="auto"/>
        </w:rPr>
        <w:t>Securities Exchange Act of 1934</w:t>
      </w:r>
    </w:p>
    <w:p>
      <w:pPr>
        <w:spacing w:after="0" w:line="175"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7"/>
          <w:szCs w:val="17"/>
          <w:b w:val="1"/>
          <w:bCs w:val="1"/>
          <w:color w:val="auto"/>
        </w:rPr>
        <w:t>Date of Report (Date of Earliest Event Reported): June 10, 2026</w:t>
      </w:r>
    </w:p>
    <w:p>
      <w:pPr>
        <w:spacing w:after="0" w:line="28"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14"/>
          <w:szCs w:val="14"/>
          <w:color w:val="auto"/>
        </w:rPr>
        <w:t>_______________________________________________</w:t>
      </w:r>
    </w:p>
    <w:p>
      <w:pPr>
        <w:spacing w:after="0" w:line="111"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34"/>
          <w:szCs w:val="34"/>
          <w:b w:val="1"/>
          <w:bCs w:val="1"/>
          <w:color w:val="auto"/>
        </w:rPr>
        <w:t>TILLY’S, INC.</w:t>
      </w:r>
    </w:p>
    <w:p>
      <w:pPr>
        <w:spacing w:after="0" w:line="42"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ectPr>
          <w:pgSz w:w="11900" w:h="16838" w:orient="portrait"/>
          <w:cols w:equalWidth="0" w:num="1">
            <w:col w:w="11060"/>
          </w:cols>
          <w:pgMar w:left="300" w:top="780" w:right="539" w:bottom="1440" w:gutter="0" w:footer="0" w:header="0"/>
        </w:sectPr>
      </w:pPr>
    </w:p>
    <w:p>
      <w:pPr>
        <w:spacing w:after="0" w:line="298" w:lineRule="exact"/>
        <w:rPr>
          <w:sz w:val="24"/>
          <w:szCs w:val="24"/>
          <w:color w:val="auto"/>
        </w:rPr>
      </w:pPr>
    </w:p>
    <w:p>
      <w:pPr>
        <w:ind w:left="1620"/>
        <w:spacing w:after="0"/>
        <w:rPr>
          <w:sz w:val="20"/>
          <w:szCs w:val="20"/>
          <w:color w:val="auto"/>
        </w:rPr>
      </w:pPr>
      <w:r>
        <w:rPr>
          <w:rFonts w:ascii="Times New Roman" w:cs="Times New Roman" w:eastAsia="Times New Roman" w:hAnsi="Times New Roman"/>
          <w:sz w:val="14"/>
          <w:szCs w:val="14"/>
          <w:b w:val="1"/>
          <w:bCs w:val="1"/>
          <w:color w:val="auto"/>
        </w:rPr>
        <w:t>Delaware</w:t>
      </w:r>
    </w:p>
    <w:p>
      <w:pPr>
        <w:spacing w:after="0" w:line="20" w:lineRule="exact"/>
        <w:rPr>
          <w:sz w:val="24"/>
          <w:szCs w:val="24"/>
          <w:color w:val="auto"/>
        </w:rPr>
      </w:pPr>
      <w:r>
        <w:rPr>
          <w:sz w:val="24"/>
          <w:szCs w:val="24"/>
          <w:color w:val="auto"/>
        </w:rPr>
        <w:br w:type="column"/>
      </w:r>
    </w:p>
    <w:p>
      <w:pPr>
        <w:spacing w:after="0" w:line="278" w:lineRule="exact"/>
        <w:rPr>
          <w:sz w:val="24"/>
          <w:szCs w:val="24"/>
          <w:color w:val="auto"/>
        </w:rPr>
      </w:pPr>
    </w:p>
    <w:p>
      <w:pPr>
        <w:jc w:val="center"/>
        <w:ind w:right="2440"/>
        <w:spacing w:after="0"/>
        <w:rPr>
          <w:sz w:val="20"/>
          <w:szCs w:val="20"/>
          <w:color w:val="auto"/>
        </w:rPr>
      </w:pPr>
      <w:r>
        <w:rPr>
          <w:rFonts w:ascii="Times New Roman" w:cs="Times New Roman" w:eastAsia="Times New Roman" w:hAnsi="Times New Roman"/>
          <w:sz w:val="14"/>
          <w:szCs w:val="14"/>
          <w:b w:val="1"/>
          <w:bCs w:val="1"/>
          <w:color w:val="auto"/>
        </w:rPr>
        <w:t>1-35535</w:t>
      </w:r>
    </w:p>
    <w:p>
      <w:pPr>
        <w:spacing w:after="0" w:line="20" w:lineRule="exact"/>
        <w:rPr>
          <w:sz w:val="24"/>
          <w:szCs w:val="24"/>
          <w:color w:val="auto"/>
        </w:rPr>
      </w:pPr>
      <w:r>
        <w:rPr>
          <w:sz w:val="24"/>
          <w:szCs w:val="24"/>
          <w:color w:val="auto"/>
        </w:rPr>
        <w:br w:type="column"/>
      </w:r>
    </w:p>
    <w:p>
      <w:pPr>
        <w:spacing w:after="0" w:line="27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45-2164791</w:t>
      </w:r>
    </w:p>
    <w:p>
      <w:pPr>
        <w:spacing w:after="0" w:line="172" w:lineRule="exact"/>
        <w:rPr>
          <w:sz w:val="24"/>
          <w:szCs w:val="24"/>
          <w:color w:val="auto"/>
        </w:rPr>
      </w:pPr>
    </w:p>
    <w:p>
      <w:pPr>
        <w:sectPr>
          <w:pgSz w:w="11900" w:h="16838" w:orient="portrait"/>
          <w:cols w:equalWidth="0" w:num="3">
            <w:col w:w="4780" w:space="720"/>
            <w:col w:w="2920" w:space="720"/>
            <w:col w:w="1920"/>
          </w:cols>
          <w:pgMar w:left="300" w:top="780" w:right="539" w:bottom="1440" w:gutter="0" w:footer="0" w:header="0"/>
          <w:type w:val="continuous"/>
        </w:sectPr>
      </w:pPr>
    </w:p>
    <w:p>
      <w:pPr>
        <w:ind w:left="1380"/>
        <w:spacing w:after="0"/>
        <w:rPr>
          <w:sz w:val="20"/>
          <w:szCs w:val="20"/>
          <w:color w:val="auto"/>
        </w:rPr>
      </w:pPr>
      <w:r>
        <w:rPr>
          <w:rFonts w:ascii="Times New Roman" w:cs="Times New Roman" w:eastAsia="Times New Roman" w:hAnsi="Times New Roman"/>
          <w:sz w:val="10"/>
          <w:szCs w:val="10"/>
          <w:b w:val="1"/>
          <w:bCs w:val="1"/>
          <w:color w:val="auto"/>
        </w:rPr>
        <w:t>(State of Incorporation)</w:t>
      </w:r>
    </w:p>
    <w:p>
      <w:pPr>
        <w:spacing w:after="0" w:line="20" w:lineRule="exact"/>
        <w:rPr>
          <w:sz w:val="24"/>
          <w:szCs w:val="24"/>
          <w:color w:val="auto"/>
        </w:rPr>
      </w:pPr>
      <w:r>
        <w:rPr>
          <w:sz w:val="24"/>
          <w:szCs w:val="24"/>
          <w:color w:val="auto"/>
        </w:rPr>
        <w:br w:type="column"/>
      </w:r>
    </w:p>
    <w:p>
      <w:pPr>
        <w:jc w:val="center"/>
        <w:ind w:right="1880"/>
        <w:spacing w:after="0"/>
        <w:rPr>
          <w:sz w:val="20"/>
          <w:szCs w:val="20"/>
          <w:color w:val="auto"/>
        </w:rPr>
      </w:pPr>
      <w:r>
        <w:rPr>
          <w:rFonts w:ascii="Times New Roman" w:cs="Times New Roman" w:eastAsia="Times New Roman" w:hAnsi="Times New Roman"/>
          <w:sz w:val="10"/>
          <w:szCs w:val="10"/>
          <w:b w:val="1"/>
          <w:bCs w:val="1"/>
          <w:color w:val="auto"/>
        </w:rPr>
        <w:t>(Commission File Number)</w:t>
      </w:r>
    </w:p>
    <w:p>
      <w:pPr>
        <w:spacing w:after="0" w:line="20" w:lineRule="exact"/>
        <w:rPr>
          <w:sz w:val="24"/>
          <w:szCs w:val="24"/>
          <w:color w:val="auto"/>
        </w:rPr>
      </w:pPr>
      <w:r>
        <w:rPr>
          <w:sz w:val="24"/>
          <w:szCs w:val="24"/>
          <w:color w:val="auto"/>
        </w:rPr>
        <w:br w:type="column"/>
      </w:r>
    </w:p>
    <w:p>
      <w:pPr>
        <w:jc w:val="center"/>
        <w:ind w:right="1060"/>
        <w:spacing w:after="0"/>
        <w:rPr>
          <w:sz w:val="20"/>
          <w:szCs w:val="20"/>
          <w:color w:val="auto"/>
        </w:rPr>
      </w:pPr>
      <w:r>
        <w:rPr>
          <w:rFonts w:ascii="Times New Roman" w:cs="Times New Roman" w:eastAsia="Times New Roman" w:hAnsi="Times New Roman"/>
          <w:sz w:val="11"/>
          <w:szCs w:val="11"/>
          <w:b w:val="1"/>
          <w:bCs w:val="1"/>
          <w:color w:val="auto"/>
        </w:rPr>
        <w:t>(IRS Employer</w:t>
      </w:r>
    </w:p>
    <w:p>
      <w:pPr>
        <w:spacing w:after="0" w:line="14"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10"/>
          <w:szCs w:val="10"/>
          <w:b w:val="1"/>
          <w:bCs w:val="1"/>
          <w:color w:val="auto"/>
        </w:rPr>
        <w:t>Identification Number)</w:t>
      </w:r>
    </w:p>
    <w:p>
      <w:pPr>
        <w:spacing w:after="0" w:line="200" w:lineRule="exact"/>
        <w:rPr>
          <w:sz w:val="24"/>
          <w:szCs w:val="24"/>
          <w:color w:val="auto"/>
        </w:rPr>
      </w:pPr>
    </w:p>
    <w:p>
      <w:pPr>
        <w:sectPr>
          <w:pgSz w:w="11900" w:h="16838" w:orient="portrait"/>
          <w:cols w:equalWidth="0" w:num="3">
            <w:col w:w="4400" w:space="720"/>
            <w:col w:w="3120" w:space="720"/>
            <w:col w:w="2100"/>
          </w:cols>
          <w:pgMar w:left="300" w:top="780" w:right="539" w:bottom="1440" w:gutter="0" w:footer="0" w:header="0"/>
          <w:type w:val="continuous"/>
        </w:sectPr>
      </w:pPr>
    </w:p>
    <w:p>
      <w:pPr>
        <w:spacing w:after="0" w:line="8"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4"/>
          <w:szCs w:val="14"/>
          <w:b w:val="1"/>
          <w:bCs w:val="1"/>
          <w:color w:val="auto"/>
        </w:rPr>
        <w:t>10 Whatney</w:t>
      </w:r>
    </w:p>
    <w:p>
      <w:pPr>
        <w:spacing w:after="0" w:line="25"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4"/>
          <w:szCs w:val="14"/>
          <w:b w:val="1"/>
          <w:bCs w:val="1"/>
          <w:color w:val="auto"/>
        </w:rPr>
        <w:t>Irvine, California 92618</w:t>
      </w:r>
    </w:p>
    <w:p>
      <w:pPr>
        <w:spacing w:after="0" w:line="9"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1"/>
          <w:szCs w:val="11"/>
          <w:b w:val="1"/>
          <w:bCs w:val="1"/>
          <w:color w:val="auto"/>
        </w:rPr>
        <w:t>(Address of Principal Executive Offices) (Zip Code)</w:t>
      </w:r>
    </w:p>
    <w:p>
      <w:pPr>
        <w:spacing w:after="0" w:line="112"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4"/>
          <w:szCs w:val="14"/>
          <w:b w:val="1"/>
          <w:bCs w:val="1"/>
          <w:color w:val="auto"/>
        </w:rPr>
        <w:t>(949) 609-5599</w:t>
      </w:r>
    </w:p>
    <w:p>
      <w:pPr>
        <w:spacing w:after="0" w:line="25"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1"/>
          <w:szCs w:val="11"/>
          <w:b w:val="1"/>
          <w:bCs w:val="1"/>
          <w:color w:val="auto"/>
        </w:rPr>
        <w:t>(Registrant’s Telephone Number, Including Area Code)</w:t>
      </w:r>
    </w:p>
    <w:p>
      <w:pPr>
        <w:spacing w:after="0" w:line="18"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14"/>
          <w:szCs w:val="14"/>
          <w:color w:val="auto"/>
        </w:rPr>
        <w:t>______________________________________________</w:t>
      </w:r>
    </w:p>
    <w:p>
      <w:pPr>
        <w:sectPr>
          <w:pgSz w:w="11900" w:h="16838" w:orient="portrait"/>
          <w:cols w:equalWidth="0" w:num="1">
            <w:col w:w="11060"/>
          </w:cols>
          <w:pgMar w:left="300" w:top="780" w:right="539" w:bottom="1440" w:gutter="0" w:footer="0" w:header="0"/>
          <w:type w:val="continuous"/>
        </w:sectPr>
      </w:pPr>
    </w:p>
    <w:p>
      <w:pPr>
        <w:spacing w:after="0" w:line="147"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Check the appropriate box below if the Form 8-K filing is intended to simultaneously satisfy the filing obligation of the registrant under any of the following provisions:</w:t>
      </w:r>
    </w:p>
    <w:p>
      <w:pPr>
        <w:spacing w:after="0" w:line="168" w:lineRule="exact"/>
        <w:rPr>
          <w:sz w:val="24"/>
          <w:szCs w:val="24"/>
          <w:color w:val="auto"/>
        </w:rPr>
      </w:pPr>
    </w:p>
    <w:p>
      <w:pPr>
        <w:ind w:left="460" w:hanging="441"/>
        <w:spacing w:after="0"/>
        <w:tabs>
          <w:tab w:leader="none" w:pos="46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Written communications pursuant to Rule 425 under the Securities Act (17 CFR 230.425)</w:t>
      </w:r>
    </w:p>
    <w:p>
      <w:pPr>
        <w:spacing w:after="0" w:line="146" w:lineRule="exact"/>
        <w:rPr>
          <w:rFonts w:ascii="MS PGothic" w:cs="MS PGothic" w:eastAsia="MS PGothic" w:hAnsi="MS PGothic"/>
          <w:sz w:val="14"/>
          <w:szCs w:val="14"/>
          <w:color w:val="auto"/>
        </w:rPr>
      </w:pPr>
    </w:p>
    <w:p>
      <w:pPr>
        <w:ind w:left="460" w:hanging="441"/>
        <w:spacing w:after="0"/>
        <w:tabs>
          <w:tab w:leader="none" w:pos="46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Soliciting material pursuant to Rule 14a-12 under the Exchange Act (17 CFR 240.14a-12)</w:t>
      </w:r>
    </w:p>
    <w:p>
      <w:pPr>
        <w:spacing w:after="0" w:line="146" w:lineRule="exact"/>
        <w:rPr>
          <w:rFonts w:ascii="MS PGothic" w:cs="MS PGothic" w:eastAsia="MS PGothic" w:hAnsi="MS PGothic"/>
          <w:sz w:val="14"/>
          <w:szCs w:val="14"/>
          <w:color w:val="auto"/>
        </w:rPr>
      </w:pPr>
    </w:p>
    <w:p>
      <w:pPr>
        <w:ind w:left="460" w:hanging="441"/>
        <w:spacing w:after="0"/>
        <w:tabs>
          <w:tab w:leader="none" w:pos="46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14d-2(b) under the Exchange Act (17 CFR 240.14d-2(b))</w:t>
      </w:r>
    </w:p>
    <w:p>
      <w:pPr>
        <w:spacing w:after="0" w:line="146" w:lineRule="exact"/>
        <w:rPr>
          <w:rFonts w:ascii="MS PGothic" w:cs="MS PGothic" w:eastAsia="MS PGothic" w:hAnsi="MS PGothic"/>
          <w:sz w:val="14"/>
          <w:szCs w:val="14"/>
          <w:color w:val="auto"/>
        </w:rPr>
      </w:pPr>
    </w:p>
    <w:p>
      <w:pPr>
        <w:ind w:right="4280" w:firstLine="19"/>
        <w:spacing w:after="0" w:line="382" w:lineRule="auto"/>
        <w:tabs>
          <w:tab w:leader="none" w:pos="46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13e-4(c) under the Exchange Act (17 CFR 240.13e-4(c)) Securities registered pursuant to Section 12(b) of the Act:</w:t>
      </w:r>
    </w:p>
    <w:tbl>
      <w:tblPr>
        <w:tblLayout w:type="fixed"/>
        <w:tblInd w:w="1070" w:type="dxa"/>
        <w:tblCellMar>
          <w:top w:w="0" w:type="dxa"/>
          <w:left w:w="0" w:type="dxa"/>
          <w:bottom w:w="0" w:type="dxa"/>
          <w:right w:w="0" w:type="dxa"/>
        </w:tblCellMar>
      </w:tblPr>
      <w:tr>
        <w:trPr>
          <w:trHeight w:val="172"/>
        </w:trPr>
        <w:tc>
          <w:tcPr>
            <w:tcW w:w="378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66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76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171"/>
        </w:trPr>
        <w:tc>
          <w:tcPr>
            <w:tcW w:w="37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Class A Common Stock, $0.001 par value per share</w:t>
            </w:r>
          </w:p>
        </w:tc>
        <w:tc>
          <w:tcPr>
            <w:tcW w:w="1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TLYS</w:t>
            </w:r>
          </w:p>
        </w:tc>
        <w:tc>
          <w:tcPr>
            <w:tcW w:w="37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New York Stock Exchange</w:t>
            </w:r>
          </w:p>
        </w:tc>
      </w:tr>
    </w:tbl>
    <w:p>
      <w:pPr>
        <w:spacing w:after="0" w:line="251" w:lineRule="exact"/>
        <w:rPr>
          <w:sz w:val="24"/>
          <w:szCs w:val="24"/>
          <w:color w:val="auto"/>
        </w:rPr>
      </w:pPr>
    </w:p>
    <w:p>
      <w:pPr>
        <w:ind w:right="360"/>
        <w:spacing w:after="0" w:line="287" w:lineRule="auto"/>
        <w:rPr>
          <w:sz w:val="20"/>
          <w:szCs w:val="20"/>
          <w:color w:val="auto"/>
        </w:rPr>
      </w:pPr>
      <w:r>
        <w:rPr>
          <w:rFonts w:ascii="Times New Roman" w:cs="Times New Roman" w:eastAsia="Times New Roman" w:hAnsi="Times New Roman"/>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4"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p>
      <w:pPr>
        <w:spacing w:after="0" w:line="231" w:lineRule="exact"/>
        <w:rPr>
          <w:sz w:val="24"/>
          <w:szCs w:val="24"/>
          <w:color w:val="auto"/>
        </w:rPr>
      </w:pPr>
    </w:p>
    <w:p>
      <w:pPr>
        <w:spacing w:after="0" w:line="188"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815975</wp:posOffset>
            </wp:positionV>
            <wp:extent cx="71869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53975</wp:posOffset>
            </wp:positionV>
            <wp:extent cx="7148195"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8195" cy="698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74295</wp:posOffset>
            </wp:positionV>
            <wp:extent cx="7148195"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8195" cy="6985"/>
                    </a:xfrm>
                    <a:prstGeom prst="rect">
                      <a:avLst/>
                    </a:prstGeom>
                    <a:noFill/>
                  </pic:spPr>
                </pic:pic>
              </a:graphicData>
            </a:graphic>
          </wp:anchor>
        </w:drawing>
      </w:r>
    </w:p>
    <w:p>
      <w:pPr>
        <w:sectPr>
          <w:pgSz w:w="11900" w:h="16838" w:orient="portrait"/>
          <w:cols w:equalWidth="0" w:num="1">
            <w:col w:w="11060"/>
          </w:cols>
          <w:pgMar w:left="300" w:top="780" w:right="539" w:bottom="1440" w:gutter="0" w:footer="0" w:header="0"/>
          <w:type w:val="continuous"/>
        </w:sectPr>
      </w:pPr>
    </w:p>
    <w:bookmarkStart w:id="1" w:name="page2"/>
    <w:bookmarkEnd w:id="1"/>
    <w:p>
      <w:pPr>
        <w:ind w:left="20"/>
        <w:spacing w:after="0"/>
        <w:tabs>
          <w:tab w:leader="none" w:pos="1120" w:val="left"/>
        </w:tabs>
        <w:rPr>
          <w:sz w:val="20"/>
          <w:szCs w:val="20"/>
          <w:color w:val="auto"/>
        </w:rPr>
      </w:pPr>
      <w:r>
        <w:rPr>
          <w:rFonts w:ascii="Times New Roman" w:cs="Times New Roman" w:eastAsia="Times New Roman" w:hAnsi="Times New Roman"/>
          <w:sz w:val="14"/>
          <w:szCs w:val="14"/>
          <w:b w:val="1"/>
          <w:bCs w:val="1"/>
          <w:color w:val="auto"/>
        </w:rPr>
        <w:t>Item 1.01</w:t>
      </w:r>
      <w:r>
        <w:rPr>
          <w:sz w:val="20"/>
          <w:szCs w:val="20"/>
          <w:color w:val="auto"/>
        </w:rPr>
        <w:tab/>
      </w:r>
      <w:r>
        <w:rPr>
          <w:rFonts w:ascii="Times New Roman" w:cs="Times New Roman" w:eastAsia="Times New Roman" w:hAnsi="Times New Roman"/>
          <w:sz w:val="14"/>
          <w:szCs w:val="14"/>
          <w:b w:val="1"/>
          <w:bCs w:val="1"/>
          <w:color w:val="auto"/>
        </w:rPr>
        <w:t>Entry into a Material Definitive Agreement</w:t>
      </w:r>
    </w:p>
    <w:p>
      <w:pPr>
        <w:spacing w:after="0" w:line="308"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4"/>
          <w:szCs w:val="14"/>
          <w:color w:val="auto"/>
        </w:rPr>
        <w:t>On June 10, 2026, World of Jeans &amp; Tops, a California corporation and a wholly owned subsidiary of Tilly’s, Inc., a Delaware corporation (the “Company”), as borrower, and the Company, as guarantor, entered into the Second Amendment to Credit Agreement (the “Amendment”), which amends the Credit Agreement (as amended, the “Agreement”), dated as of April 27, 2023, with Wells Fargo Bank, National Association. The Amendment, among other changes, extends the maturity date under the Agreement from June 25, 2027 to September 10, 2028.</w:t>
      </w:r>
    </w:p>
    <w:p>
      <w:pPr>
        <w:spacing w:after="0" w:line="40" w:lineRule="exact"/>
        <w:rPr>
          <w:sz w:val="20"/>
          <w:szCs w:val="20"/>
          <w:color w:val="auto"/>
        </w:rPr>
      </w:pPr>
    </w:p>
    <w:p>
      <w:pPr>
        <w:ind w:right="160"/>
        <w:spacing w:after="0" w:line="271" w:lineRule="auto"/>
        <w:rPr>
          <w:sz w:val="20"/>
          <w:szCs w:val="20"/>
          <w:color w:val="auto"/>
        </w:rPr>
      </w:pPr>
      <w:r>
        <w:rPr>
          <w:rFonts w:ascii="Times New Roman" w:cs="Times New Roman" w:eastAsia="Times New Roman" w:hAnsi="Times New Roman"/>
          <w:sz w:val="14"/>
          <w:szCs w:val="14"/>
          <w:color w:val="auto"/>
        </w:rPr>
        <w:t>The foregoing summary does not purport to be complete and is qualified in its entirety by reference to the Amendment, a copy of which is attached hereto as Exhibit 10.1 and is incorporated herein by reference</w:t>
      </w:r>
    </w:p>
    <w:p>
      <w:pPr>
        <w:spacing w:after="0" w:line="80" w:lineRule="exact"/>
        <w:rPr>
          <w:sz w:val="20"/>
          <w:szCs w:val="20"/>
          <w:color w:val="auto"/>
        </w:rPr>
      </w:pPr>
    </w:p>
    <w:p>
      <w:pPr>
        <w:ind w:left="20"/>
        <w:spacing w:after="0"/>
        <w:tabs>
          <w:tab w:leader="none" w:pos="1120" w:val="left"/>
        </w:tabs>
        <w:rPr>
          <w:sz w:val="20"/>
          <w:szCs w:val="20"/>
          <w:color w:val="auto"/>
        </w:rPr>
      </w:pPr>
      <w:r>
        <w:rPr>
          <w:rFonts w:ascii="Times New Roman" w:cs="Times New Roman" w:eastAsia="Times New Roman" w:hAnsi="Times New Roman"/>
          <w:sz w:val="14"/>
          <w:szCs w:val="14"/>
          <w:b w:val="1"/>
          <w:bCs w:val="1"/>
          <w:color w:val="auto"/>
        </w:rPr>
        <w:t>Item 9.01</w:t>
      </w:r>
      <w:r>
        <w:rPr>
          <w:sz w:val="20"/>
          <w:szCs w:val="20"/>
          <w:color w:val="auto"/>
        </w:rPr>
        <w:tab/>
      </w:r>
      <w:r>
        <w:rPr>
          <w:rFonts w:ascii="Times New Roman" w:cs="Times New Roman" w:eastAsia="Times New Roman" w:hAnsi="Times New Roman"/>
          <w:sz w:val="14"/>
          <w:szCs w:val="14"/>
          <w:b w:val="1"/>
          <w:bCs w:val="1"/>
          <w:color w:val="auto"/>
        </w:rPr>
        <w:t>Financial Statements and Exhibits.</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exhibits are being furnished herewith.</w:t>
      </w:r>
    </w:p>
    <w:p>
      <w:pPr>
        <w:spacing w:after="0" w:line="200" w:lineRule="exact"/>
        <w:rPr>
          <w:sz w:val="20"/>
          <w:szCs w:val="20"/>
          <w:color w:val="auto"/>
        </w:rPr>
      </w:pPr>
    </w:p>
    <w:p>
      <w:pPr>
        <w:ind w:left="340" w:hanging="335"/>
        <w:spacing w:after="0"/>
        <w:tabs>
          <w:tab w:leader="none" w:pos="34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Exhibits.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0" w:type="dxa"/>
            <w:vAlign w:val="bottom"/>
          </w:tcPr>
          <w:p>
            <w:pPr>
              <w:spacing w:after="0"/>
              <w:rPr>
                <w:sz w:val="15"/>
                <w:szCs w:val="15"/>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Exhibit No.</w:t>
            </w:r>
          </w:p>
        </w:tc>
        <w:tc>
          <w:tcPr>
            <w:tcW w:w="101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Exhibit Title or Description</w:t>
            </w:r>
          </w:p>
        </w:tc>
      </w:tr>
      <w:tr>
        <w:trPr>
          <w:trHeight w:val="21"/>
        </w:trPr>
        <w:tc>
          <w:tcPr>
            <w:tcW w:w="6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308"/>
        </w:trPr>
        <w:tc>
          <w:tcPr>
            <w:tcW w:w="6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10.1</w:t>
            </w:r>
          </w:p>
        </w:tc>
        <w:tc>
          <w:tcPr>
            <w:tcW w:w="460" w:type="dxa"/>
            <w:vAlign w:val="bottom"/>
          </w:tcPr>
          <w:p>
            <w:pPr>
              <w:spacing w:after="0"/>
              <w:rPr>
                <w:sz w:val="24"/>
                <w:szCs w:val="24"/>
                <w:color w:val="auto"/>
              </w:rPr>
            </w:pPr>
          </w:p>
        </w:tc>
        <w:tc>
          <w:tcPr>
            <w:tcW w:w="90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4"/>
                <w:szCs w:val="14"/>
                <w:color w:val="0000FF"/>
              </w:rPr>
              <w:t>Second Amendment to Credit Agreement, dated June 10, 2026, by and among World of Jeans &amp; Tops, Tilly's Inc., and Wells Fargo Bank, National Association.</w:t>
            </w:r>
          </w:p>
        </w:tc>
        <w:tc>
          <w:tcPr>
            <w:tcW w:w="1080" w:type="dxa"/>
            <w:vAlign w:val="bottom"/>
          </w:tcPr>
          <w:p>
            <w:pPr>
              <w:spacing w:after="0"/>
              <w:rPr>
                <w:sz w:val="24"/>
                <w:szCs w:val="24"/>
                <w:color w:val="auto"/>
              </w:rPr>
            </w:pPr>
          </w:p>
        </w:tc>
      </w:tr>
      <w:tr>
        <w:trPr>
          <w:trHeight w:val="202"/>
        </w:trPr>
        <w:tc>
          <w:tcPr>
            <w:tcW w:w="6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104</w:t>
            </w:r>
          </w:p>
        </w:tc>
        <w:tc>
          <w:tcPr>
            <w:tcW w:w="460" w:type="dxa"/>
            <w:vAlign w:val="bottom"/>
          </w:tcPr>
          <w:p>
            <w:pPr>
              <w:spacing w:after="0"/>
              <w:rPr>
                <w:sz w:val="17"/>
                <w:szCs w:val="17"/>
                <w:color w:val="auto"/>
              </w:rPr>
            </w:pPr>
          </w:p>
        </w:tc>
        <w:tc>
          <w:tcPr>
            <w:tcW w:w="101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Cover Page Interactive Data File (embedded within the Inline XBRL document).</w:t>
            </w:r>
          </w:p>
        </w:tc>
      </w:tr>
      <w:tr>
        <w:trPr>
          <w:trHeight w:val="1179"/>
        </w:trPr>
        <w:tc>
          <w:tcPr>
            <w:tcW w:w="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750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547" w:right="319" w:bottom="1440" w:gutter="0" w:footer="0" w:header="0"/>
        </w:sectPr>
      </w:pPr>
    </w:p>
    <w:bookmarkStart w:id="2" w:name="page3"/>
    <w:bookmarkEnd w:id="2"/>
    <w:p>
      <w:pPr>
        <w:ind w:left="5180"/>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86"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3380" w:type="dxa"/>
            <w:vAlign w:val="bottom"/>
          </w:tcPr>
          <w:p>
            <w:pPr>
              <w:spacing w:after="0"/>
              <w:rPr>
                <w:sz w:val="16"/>
                <w:szCs w:val="16"/>
                <w:color w:val="auto"/>
              </w:rPr>
            </w:pPr>
          </w:p>
        </w:tc>
        <w:tc>
          <w:tcPr>
            <w:tcW w:w="7880" w:type="dxa"/>
            <w:vAlign w:val="bottom"/>
            <w:gridSpan w:val="2"/>
          </w:tcPr>
          <w:p>
            <w:pPr>
              <w:ind w:left="2260"/>
              <w:spacing w:after="0"/>
              <w:rPr>
                <w:sz w:val="20"/>
                <w:szCs w:val="20"/>
                <w:color w:val="auto"/>
              </w:rPr>
            </w:pPr>
            <w:r>
              <w:rPr>
                <w:rFonts w:ascii="Times New Roman" w:cs="Times New Roman" w:eastAsia="Times New Roman" w:hAnsi="Times New Roman"/>
                <w:sz w:val="14"/>
                <w:szCs w:val="14"/>
                <w:color w:val="auto"/>
              </w:rPr>
              <w:t>TILLY’S, INC.</w:t>
            </w:r>
          </w:p>
        </w:tc>
      </w:tr>
      <w:tr>
        <w:trPr>
          <w:trHeight w:val="371"/>
        </w:trPr>
        <w:tc>
          <w:tcPr>
            <w:tcW w:w="3380" w:type="dxa"/>
            <w:vAlign w:val="bottom"/>
          </w:tcPr>
          <w:p>
            <w:pPr>
              <w:spacing w:after="0"/>
              <w:rPr>
                <w:sz w:val="20"/>
                <w:szCs w:val="20"/>
                <w:color w:val="auto"/>
              </w:rPr>
            </w:pPr>
            <w:r>
              <w:rPr>
                <w:rFonts w:ascii="Times New Roman" w:cs="Times New Roman" w:eastAsia="Times New Roman" w:hAnsi="Times New Roman"/>
                <w:sz w:val="14"/>
                <w:szCs w:val="14"/>
                <w:color w:val="auto"/>
              </w:rPr>
              <w:t>Date: June 11, 2026</w:t>
            </w:r>
          </w:p>
        </w:tc>
        <w:tc>
          <w:tcPr>
            <w:tcW w:w="2940" w:type="dxa"/>
            <w:vAlign w:val="bottom"/>
          </w:tcPr>
          <w:p>
            <w:pPr>
              <w:ind w:left="2260"/>
              <w:spacing w:after="0"/>
              <w:rPr>
                <w:sz w:val="20"/>
                <w:szCs w:val="20"/>
                <w:color w:val="auto"/>
              </w:rPr>
            </w:pPr>
            <w:r>
              <w:rPr>
                <w:rFonts w:ascii="Times New Roman" w:cs="Times New Roman" w:eastAsia="Times New Roman" w:hAnsi="Times New Roman"/>
                <w:sz w:val="14"/>
                <w:szCs w:val="14"/>
                <w:color w:val="auto"/>
              </w:rPr>
              <w:t>By:</w:t>
            </w:r>
          </w:p>
        </w:tc>
        <w:tc>
          <w:tcPr>
            <w:tcW w:w="49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/s/ Michael L. Henry</w:t>
            </w:r>
          </w:p>
        </w:tc>
      </w:tr>
      <w:tr>
        <w:trPr>
          <w:trHeight w:val="167"/>
        </w:trPr>
        <w:tc>
          <w:tcPr>
            <w:tcW w:w="3380" w:type="dxa"/>
            <w:vAlign w:val="bottom"/>
          </w:tcPr>
          <w:p>
            <w:pPr>
              <w:spacing w:after="0"/>
              <w:rPr>
                <w:sz w:val="14"/>
                <w:szCs w:val="14"/>
                <w:color w:val="auto"/>
              </w:rPr>
            </w:pPr>
          </w:p>
        </w:tc>
        <w:tc>
          <w:tcPr>
            <w:tcW w:w="2940" w:type="dxa"/>
            <w:vAlign w:val="bottom"/>
          </w:tcPr>
          <w:p>
            <w:pPr>
              <w:ind w:left="2260"/>
              <w:spacing w:after="0"/>
              <w:rPr>
                <w:sz w:val="20"/>
                <w:szCs w:val="20"/>
                <w:color w:val="auto"/>
              </w:rPr>
            </w:pPr>
            <w:r>
              <w:rPr>
                <w:rFonts w:ascii="Times New Roman" w:cs="Times New Roman" w:eastAsia="Times New Roman" w:hAnsi="Times New Roman"/>
                <w:sz w:val="14"/>
                <w:szCs w:val="14"/>
                <w:color w:val="auto"/>
              </w:rPr>
              <w:t>Name:</w:t>
            </w:r>
          </w:p>
        </w:tc>
        <w:tc>
          <w:tcPr>
            <w:tcW w:w="49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Michael L. Henry</w:t>
            </w:r>
          </w:p>
        </w:tc>
      </w:tr>
      <w:tr>
        <w:trPr>
          <w:trHeight w:val="184"/>
        </w:trPr>
        <w:tc>
          <w:tcPr>
            <w:tcW w:w="3380" w:type="dxa"/>
            <w:vAlign w:val="bottom"/>
          </w:tcPr>
          <w:p>
            <w:pPr>
              <w:spacing w:after="0"/>
              <w:rPr>
                <w:sz w:val="16"/>
                <w:szCs w:val="16"/>
                <w:color w:val="auto"/>
              </w:rPr>
            </w:pPr>
          </w:p>
        </w:tc>
        <w:tc>
          <w:tcPr>
            <w:tcW w:w="2940" w:type="dxa"/>
            <w:vAlign w:val="bottom"/>
          </w:tcPr>
          <w:p>
            <w:pPr>
              <w:ind w:left="2260"/>
              <w:spacing w:after="0"/>
              <w:rPr>
                <w:sz w:val="20"/>
                <w:szCs w:val="20"/>
                <w:color w:val="auto"/>
              </w:rPr>
            </w:pPr>
            <w:r>
              <w:rPr>
                <w:rFonts w:ascii="Times New Roman" w:cs="Times New Roman" w:eastAsia="Times New Roman" w:hAnsi="Times New Roman"/>
                <w:sz w:val="14"/>
                <w:szCs w:val="14"/>
                <w:color w:val="auto"/>
              </w:rPr>
              <w:t>Title:</w:t>
            </w:r>
          </w:p>
        </w:tc>
        <w:tc>
          <w:tcPr>
            <w:tcW w:w="49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Executive Vice President, Chief Financial Officer</w:t>
            </w:r>
          </w:p>
        </w:tc>
      </w:tr>
    </w:tbl>
    <w:p>
      <w:pPr>
        <w:sectPr>
          <w:pgSz w:w="11900" w:h="16838" w:orient="portrait"/>
          <w:cols w:equalWidth="0" w:num="1">
            <w:col w:w="11280"/>
          </w:cols>
          <w:pgMar w:left="300" w:top="441" w:right="319"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338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2026-06-12T05:08:53Z</dcterms:created>
  <dcterms:modified xsi:type="dcterms:W3CDTF">2026-06-12T05:08:53Z</dcterms:modified>
</cp:coreProperties>
</file>