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 </w:t>
      </w:r>
    </w:p>
    <w:p>
      <w:pPr>
        <w:pStyle w:val="TextBody"/>
        <w:bidi w:val="0"/>
        <w:spacing w:lineRule="auto" w:line="288" w:before="0" w:after="0"/>
        <w:jc w:val="center"/>
        <w:rPr/>
      </w:pPr>
      <w:r>
        <w:rPr>
          <w:rFonts w:ascii="Times New Roman;serif" w:hAnsi="Times New Roman;serif"/>
          <w:b/>
          <w:color w:val="000000"/>
          <w:sz w:val="36"/>
        </w:rPr>
        <w:t>FORM 10-Q</w:t>
      </w:r>
      <w:r>
        <w:rPr>
          <w:color w:val="000000"/>
        </w:rPr>
        <w:t>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2, 2025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rPr>
        <w:t>Commission file number: 001-35535</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TILLY’S, INC.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 </w:t>
      </w:r>
    </w:p>
    <w:p>
      <w:pPr>
        <w:pStyle w:val="TextBody"/>
        <w:bidi w:val="0"/>
        <w:spacing w:lineRule="auto" w:line="288" w:before="0" w:after="0"/>
        <w:jc w:val="center"/>
        <w:rPr>
          <w:color w:val="000000"/>
        </w:rPr>
      </w:pP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45-2164791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10 Whatney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Irvine, CA 92618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(949) 609-5599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__________________________________________________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78" w:type="dxa"/>
        <w:jc w:val="center"/>
        <w:tblInd w:w="0" w:type="dxa"/>
        <w:tblLayout w:type="fixed"/>
        <w:tblCellMar>
          <w:top w:w="28" w:type="dxa"/>
          <w:left w:w="28" w:type="dxa"/>
          <w:bottom w:w="28" w:type="dxa"/>
          <w:right w:w="28" w:type="dxa"/>
        </w:tblCellMar>
      </w:tblPr>
      <w:tblGrid>
        <w:gridCol w:w="1539"/>
        <w:gridCol w:w="1352"/>
        <w:gridCol w:w="1368"/>
        <w:gridCol w:w="564"/>
        <w:gridCol w:w="564"/>
        <w:gridCol w:w="566"/>
        <w:gridCol w:w="1118"/>
        <w:gridCol w:w="1118"/>
        <w:gridCol w:w="1589"/>
      </w:tblGrid>
      <w:tr>
        <w:trPr/>
        <w:tc>
          <w:tcPr>
            <w:tcW w:w="153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TLYS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6316" w:type="dxa"/>
        <w:jc w:val="left"/>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sz w:val="24"/>
              </w:rPr>
            </w:pPr>
            <w:r>
              <w:rPr>
                <w:rFonts w:ascii="Wingdings;sans-serif" w:hAnsi="Wingdings;sans-serif"/>
                <w:b w:val="false"/>
                <w:sz w:val="24"/>
              </w:rPr>
            </w:r>
          </w:p>
        </w:tc>
      </w:tr>
    </w:tbl>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 shell company (as defined in Exchange Act Rule 12b-2)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2, 2025, the registrant had the following shares of common stock outstanding:</w:t>
      </w:r>
    </w:p>
    <w:tbl>
      <w:tblPr>
        <w:tblW w:w="4610" w:type="dxa"/>
        <w:jc w:val="left"/>
        <w:tblInd w:w="0" w:type="dxa"/>
        <w:tblLayout w:type="fixed"/>
        <w:tblCellMar>
          <w:top w:w="28" w:type="dxa"/>
          <w:left w:w="28" w:type="dxa"/>
          <w:bottom w:w="28" w:type="dxa"/>
          <w:right w:w="28" w:type="dxa"/>
        </w:tblCellMar>
      </w:tblPr>
      <w:tblGrid>
        <w:gridCol w:w="1222"/>
        <w:gridCol w:w="1074"/>
        <w:gridCol w:w="1079"/>
        <w:gridCol w:w="540"/>
        <w:gridCol w:w="54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23,167,562 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2, 2025 </w:t>
      </w:r>
    </w:p>
    <w:p>
      <w:pPr>
        <w:pStyle w:val="TextBody"/>
        <w:bidi w:val="0"/>
        <w:spacing w:lineRule="auto" w:line="288" w:before="240" w:after="283"/>
        <w:jc w:val="center"/>
        <w:rPr/>
      </w:pPr>
      <w:r>
        <w:rPr>
          <w:rFonts w:ascii="Times New Roman;serif" w:hAnsi="Times New Roman;serif"/>
          <w:b/>
          <w:color w:val="000000"/>
          <w:sz w:val="20"/>
        </w:rPr>
        <w:t>Index</w:t>
      </w:r>
      <w:r>
        <w:rPr>
          <w:color w:val="000000"/>
        </w:rPr>
        <w:t> </w:t>
      </w:r>
    </w:p>
    <w:tbl>
      <w:tblPr>
        <w:tblW w:w="10205" w:type="dxa"/>
        <w:jc w:val="left"/>
        <w:tblInd w:w="0" w:type="dxa"/>
        <w:tblLayout w:type="fixed"/>
        <w:tblCellMar>
          <w:top w:w="28" w:type="dxa"/>
          <w:left w:w="28" w:type="dxa"/>
          <w:bottom w:w="28" w:type="dxa"/>
          <w:right w:w="28" w:type="dxa"/>
        </w:tblCellMar>
      </w:tblPr>
      <w:tblGrid>
        <w:gridCol w:w="525"/>
        <w:gridCol w:w="454"/>
        <w:gridCol w:w="454"/>
        <w:gridCol w:w="2870"/>
        <w:gridCol w:w="2668"/>
        <w:gridCol w:w="2720"/>
        <w:gridCol w:w="149"/>
        <w:gridCol w:w="149"/>
        <w:gridCol w:w="216"/>
      </w:tblGrid>
      <w:tr>
        <w:trPr/>
        <w:tc>
          <w:tcPr>
            <w:tcW w:w="52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10">
              <w:r>
                <w:rPr>
                  <w:rStyle w:val="InternetLink"/>
                  <w:rFonts w:ascii="Times New Roman;serif" w:hAnsi="Times New Roman;serif"/>
                  <w:b/>
                  <w:color w:val="0000FF"/>
                  <w:sz w:val="20"/>
                  <w:u w:val="single"/>
                </w:rPr>
                <w:t>PART I. FINANCIAL INFORMATION</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13">
              <w:r>
                <w:rPr>
                  <w:rStyle w:val="InternetLink"/>
                  <w:rFonts w:ascii="Times New Roman;serif" w:hAnsi="Times New Roman;serif"/>
                  <w:b w:val="false"/>
                  <w:color w:val="0000FF"/>
                  <w:sz w:val="20"/>
                  <w:u w:val="single"/>
                </w:rPr>
                <w:t>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13">
              <w:r>
                <w:rPr>
                  <w:rStyle w:val="InternetLink"/>
                  <w:rFonts w:ascii="Times New Roman;serif" w:hAnsi="Times New Roman;serif"/>
                  <w:b w:val="false"/>
                  <w:color w:val="0000FF"/>
                  <w:sz w:val="20"/>
                  <w:u w:val="single"/>
                </w:rPr>
                <w:t>6</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16">
              <w:r>
                <w:rPr>
                  <w:rStyle w:val="InternetLink"/>
                  <w:rFonts w:ascii="Times New Roman;serif" w:hAnsi="Times New Roman;serif"/>
                  <w:b w:val="false"/>
                  <w:color w:val="0000FF"/>
                  <w:sz w:val="20"/>
                  <w:u w:val="single"/>
                </w:rPr>
                <w:t>Consolidated Balance Sheets as of August 2, 2025, February 1, 2025 and August 3,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16">
              <w:r>
                <w:rPr>
                  <w:rStyle w:val="InternetLink"/>
                  <w:rFonts w:ascii="Times New Roman;serif" w:hAnsi="Times New Roman;serif"/>
                  <w:b w:val="false"/>
                  <w:color w:val="0000FF"/>
                  <w:sz w:val="20"/>
                  <w:u w:val="single"/>
                </w:rPr>
                <w:t>6</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22">
              <w:r>
                <w:rPr>
                  <w:rStyle w:val="InternetLink"/>
                  <w:rFonts w:ascii="Times New Roman;serif" w:hAnsi="Times New Roman;serif"/>
                  <w:b w:val="false"/>
                  <w:color w:val="0000FF"/>
                  <w:sz w:val="20"/>
                  <w:u w:val="single"/>
                </w:rPr>
                <w:t>Consolidated Statements of Operations for the Thirteen and Twenty-Six Weeks Ended August 2, 2025 and August 3,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22">
              <w:r>
                <w:rPr>
                  <w:rStyle w:val="InternetLink"/>
                  <w:rFonts w:ascii="Times New Roman;serif" w:hAnsi="Times New Roman;serif"/>
                  <w:b w:val="false"/>
                  <w:color w:val="0000FF"/>
                  <w:sz w:val="20"/>
                  <w:u w:val="single"/>
                </w:rPr>
                <w:t>7</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25">
              <w:r>
                <w:rPr>
                  <w:rStyle w:val="InternetLink"/>
                  <w:rFonts w:ascii="Times New Roman;serif" w:hAnsi="Times New Roman;serif"/>
                  <w:b w:val="false"/>
                  <w:color w:val="0000FF"/>
                  <w:sz w:val="20"/>
                  <w:u w:val="single"/>
                </w:rPr>
                <w:t>Consolidated Statements of Comprehensive Income (Loss) for the Thirteen and Twenty-Six Weeks Ended August 2, 2025 and August 3,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25">
              <w:r>
                <w:rPr>
                  <w:rStyle w:val="InternetLink"/>
                  <w:rFonts w:ascii="Times New Roman;serif" w:hAnsi="Times New Roman;serif"/>
                  <w:b w:val="false"/>
                  <w:color w:val="0000FF"/>
                  <w:sz w:val="20"/>
                  <w:u w:val="single"/>
                </w:rPr>
                <w:t>8</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28">
              <w:r>
                <w:rPr>
                  <w:rStyle w:val="InternetLink"/>
                  <w:rFonts w:ascii="Times New Roman;serif" w:hAnsi="Times New Roman;serif"/>
                  <w:b w:val="false"/>
                  <w:color w:val="0000FF"/>
                  <w:sz w:val="20"/>
                  <w:u w:val="single"/>
                </w:rPr>
                <w:t>Consolidated Statements of Stockholders’ Equity as of August 2, 2025 and August 3,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28">
              <w:r>
                <w:rPr>
                  <w:rStyle w:val="InternetLink"/>
                  <w:rFonts w:ascii="Times New Roman;serif" w:hAnsi="Times New Roman;serif"/>
                  <w:b w:val="false"/>
                  <w:color w:val="0000FF"/>
                  <w:sz w:val="20"/>
                  <w:u w:val="single"/>
                </w:rPr>
                <w:t>9</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31">
              <w:r>
                <w:rPr>
                  <w:rStyle w:val="InternetLink"/>
                  <w:rFonts w:ascii="Times New Roman;serif" w:hAnsi="Times New Roman;serif"/>
                  <w:b w:val="false"/>
                  <w:color w:val="0000FF"/>
                  <w:sz w:val="20"/>
                  <w:u w:val="single"/>
                </w:rPr>
                <w:t>Consolidated Statements of Cash Flows for the Twenty-Six Weeks Ended August 2, 2025 and August 3,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31">
              <w:r>
                <w:rPr>
                  <w:rStyle w:val="InternetLink"/>
                  <w:rFonts w:ascii="Times New Roman;serif" w:hAnsi="Times New Roman;serif"/>
                  <w:b w:val="false"/>
                  <w:color w:val="0000FF"/>
                  <w:sz w:val="20"/>
                  <w:u w:val="single"/>
                </w:rPr>
                <w:t>11</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34">
              <w:r>
                <w:rPr>
                  <w:rStyle w:val="InternetLink"/>
                  <w:rFonts w:ascii="Times New Roman;serif" w:hAnsi="Times New Roman;serif"/>
                  <w:b w:val="false"/>
                  <w:color w:val="0000FF"/>
                  <w:sz w:val="20"/>
                  <w:u w:val="single"/>
                </w:rPr>
                <w:t>Notes to the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34">
              <w:r>
                <w:rPr>
                  <w:rStyle w:val="InternetLink"/>
                  <w:rFonts w:ascii="Times New Roman;serif" w:hAnsi="Times New Roman;serif"/>
                  <w:b w:val="false"/>
                  <w:color w:val="0000FF"/>
                  <w:sz w:val="20"/>
                  <w:u w:val="single"/>
                </w:rPr>
                <w:t>12</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79">
              <w:r>
                <w:rPr>
                  <w:rStyle w:val="InternetLink"/>
                  <w:rFonts w:ascii="Times New Roman;serif" w:hAnsi="Times New Roman;serif"/>
                  <w:b w:val="false"/>
                  <w:color w:val="0000FF"/>
                  <w:sz w:val="20"/>
                  <w:u w:val="single"/>
                </w:rPr>
                <w:t>23</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85">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85">
              <w:r>
                <w:rPr>
                  <w:rStyle w:val="InternetLink"/>
                  <w:rFonts w:ascii="Times New Roman;serif" w:hAnsi="Times New Roman;serif"/>
                  <w:b w:val="false"/>
                  <w:color w:val="0000FF"/>
                  <w:sz w:val="20"/>
                  <w:u w:val="single"/>
                </w:rPr>
                <w:t>29</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88">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88">
              <w:r>
                <w:rPr>
                  <w:rStyle w:val="InternetLink"/>
                  <w:rFonts w:ascii="Times New Roman;serif" w:hAnsi="Times New Roman;serif"/>
                  <w:b w:val="false"/>
                  <w:color w:val="0000FF"/>
                  <w:sz w:val="20"/>
                  <w:u w:val="single"/>
                </w:rPr>
                <w:t>30</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91">
              <w:r>
                <w:rPr>
                  <w:rStyle w:val="InternetLink"/>
                  <w:rFonts w:ascii="Times New Roman;serif" w:hAnsi="Times New Roman;serif"/>
                  <w:b/>
                  <w:color w:val="0000FF"/>
                  <w:sz w:val="20"/>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94">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94">
              <w:r>
                <w:rPr>
                  <w:rStyle w:val="InternetLink"/>
                  <w:rFonts w:ascii="Times New Roman;serif" w:hAnsi="Times New Roman;serif"/>
                  <w:b w:val="false"/>
                  <w:color w:val="0000FF"/>
                  <w:sz w:val="20"/>
                  <w:u w:val="single"/>
                </w:rPr>
                <w:t>30</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97">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97">
              <w:r>
                <w:rPr>
                  <w:rStyle w:val="InternetLink"/>
                  <w:rFonts w:ascii="Times New Roman;serif" w:hAnsi="Times New Roman;serif"/>
                  <w:b w:val="false"/>
                  <w:color w:val="0000FF"/>
                  <w:sz w:val="20"/>
                  <w:u w:val="single"/>
                </w:rPr>
                <w:t>30</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100">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100">
              <w:r>
                <w:rPr>
                  <w:rStyle w:val="InternetLink"/>
                  <w:rFonts w:ascii="Times New Roman;serif" w:hAnsi="Times New Roman;serif"/>
                  <w:b w:val="false"/>
                  <w:color w:val="0000FF"/>
                  <w:sz w:val="20"/>
                  <w:u w:val="single"/>
                </w:rPr>
                <w:t>30</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103">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103">
              <w:r>
                <w:rPr>
                  <w:rStyle w:val="InternetLink"/>
                  <w:rFonts w:ascii="Times New Roman;serif" w:hAnsi="Times New Roman;serif"/>
                  <w:b w:val="false"/>
                  <w:color w:val="0000FF"/>
                  <w:sz w:val="20"/>
                  <w:u w:val="single"/>
                </w:rPr>
                <w:t>30</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106">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106">
              <w:r>
                <w:rPr>
                  <w:rStyle w:val="InternetLink"/>
                  <w:rFonts w:ascii="Times New Roman;serif" w:hAnsi="Times New Roman;serif"/>
                  <w:b w:val="false"/>
                  <w:color w:val="0000FF"/>
                  <w:sz w:val="20"/>
                  <w:u w:val="single"/>
                </w:rPr>
                <w:t>31</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11845114a4623aa57d3a246652bf5_109">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2c11845114a4623aa57d3a246652bf5_109">
              <w:r>
                <w:rPr>
                  <w:rStyle w:val="InternetLink"/>
                  <w:rFonts w:ascii="Times New Roman;serif" w:hAnsi="Times New Roman;serif"/>
                  <w:b w:val="false"/>
                  <w:color w:val="0000FF"/>
                  <w:sz w:val="20"/>
                  <w:u w:val="single"/>
                </w:rPr>
                <w:t>32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54050"/>
                <wp:effectExtent l="0" t="0" r="0" b="0"/>
                <wp:wrapNone/>
                <wp:docPr id="2" name="Frame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“likely” and other words and terms of similar meaning in connection with any discussion of the timing or nature of future operating or financial performance or other events. For example, all statements we make relating to our estimated and projected earnings, revenues, comparable store sales, operating income, earnings per share,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recent history of operating losses, and our potential need to commence borrowing under our credit facility and/or to acquire additional liquidity;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impacts of inflation on consumer spending generally and on our expense management, operating results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adapt to declines in consumer confidence and decreases in consumer spending;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fluctuations in the price and availability of raw materials, labor, and transportation;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compete effectively in an environment of intense competition in stores, online and via social media marketing platforms;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manage inventory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most of our merchandise is made in foreign countries, making price and availability of our merchandise susceptible to international trade conditions, including tariffs;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adapt to changing trends in traffic for our stores and changes in our customers' purchasing patterns;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identify and respond to new and changing customer fashion preferences and fashion-related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secure desirable lease arrangements and other economics to improve our profitability;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open new stores, profitably operate our existing stores, and/or to cost-effectively close unprofitable stores ahead of natural lease expirations;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customers to our website and generate acceptable levels of return from our digital marketing efforts and other e-com growth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adequate cash from our existing stores and e-com to support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sufficient undiscounted cash flows to recover our investment in long-lived and right-of-use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sufficient pre-tax income to fully utilize our deferred tax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the malls, power centers, neighborhood and lifestyle centers, outlet centers and street-front locations in which our stores are located;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adapt to unseasonable weather impacting sales of our seasonal merchandise;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dependence on third-party vendors to provide us with sufficient quantities of merchandise at acceptable prices and on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adapt to significant changes in sales due to the seasonality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dependence upon key executive management or our inability to hire or retain the talent required for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establish, maintain and enhance a strong brand image;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balance proprietary branded merchandise with the third-party branded merchandise we sell;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efficiently utilize our e-com fulfillment center;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sufficient cash flows to make significant periodic lease payments for our stores, corporate offices and distribution centers;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customers in the various retail venues and geographies in which our stores are located;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respond to litigation claims we are subject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respond to changes in employment and wage and hour 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our vendors and their manufacturing sources to use acceptable labor or other practices;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respond to disruptions in our supply chain and distribution center;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adjust to increasing costs of mailing catalogs, paper and printing;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our information technology systems to support our business, before and after our planned upgrades;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secure our data and comply with privacy laws and the security standards of the credit card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to our information systems in the ordinary course of business, as a result of systems upgrades or due to intentional attacks;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protect our trademarks or other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potential liability if we or our vendors unknowingly infringe upon the intellectual property rights of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050"/>
                <wp:effectExtent l="0" t="0" r="0" b="0"/>
                <wp:wrapNone/>
                <wp:docPr id="3" name="Frame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unusually adverse weather conditions, port delays, boycotts, epidemics, pandemics, acts of war, terrorism, civil unrest and other unanticipated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effects of unionization and work stoppages or slowdowns by our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continuing costs incurred as a result of being a public company;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respond to risks associated with climate change, environmental, social and governance initiatives, and sustainability initiatives.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“Risk Factors” within our most recent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Report and hereafter in our other SEC filings and public communications. You should evaluate all forward-looking statements made by us in the context of these risks and uncertainties.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caution you that the risks and uncertainties identified by us may not be all of the factors that are important to you. Furthermore, the disclosures and forward-looking statements included in this Report are made only as of the date hereof. We undertake no obligation to publicly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050"/>
                <wp:effectExtent l="0" t="0" r="0" b="0"/>
                <wp:wrapNone/>
                <wp:docPr id="4" name="Frame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par value)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524"/>
        <w:gridCol w:w="1918"/>
        <w:gridCol w:w="1895"/>
        <w:gridCol w:w="196"/>
        <w:gridCol w:w="751"/>
        <w:gridCol w:w="109"/>
        <w:gridCol w:w="109"/>
        <w:gridCol w:w="109"/>
        <w:gridCol w:w="109"/>
        <w:gridCol w:w="196"/>
        <w:gridCol w:w="751"/>
        <w:gridCol w:w="109"/>
        <w:gridCol w:w="109"/>
        <w:gridCol w:w="109"/>
        <w:gridCol w:w="109"/>
        <w:gridCol w:w="196"/>
        <w:gridCol w:w="751"/>
        <w:gridCol w:w="155"/>
      </w:tblGrid>
      <w:tr>
        <w:trPr/>
        <w:tc>
          <w:tcPr>
            <w:tcW w:w="2524"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February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w:t>
              <w:br/>
              <w:t>2024</w:t>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Merchandise 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150,570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130,960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194,422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345,531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342,463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429,197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 related party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143,028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operating lease liabilities, related party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long-term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130,344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159,396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241,592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302,424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(Notes 2 and 5)</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(Class A), $0.001 par value; 100,000 shares authorized; 23,168, 22,846 and 22,846 shares issued and outstanding,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(Class B), $0.001 par value; 35,000 shares authorized; 7,306, 7,306 and 7,306 shares issued and outstanding,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 shares authorized; no shares issued or outstanding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100,871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126,773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345,531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342,463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429,197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xml:space="preserve">     </w:t>
      </w:r>
    </w:p>
    <w:p>
      <w:pPr>
        <w:pStyle w:val="TextBody"/>
        <w:bidi w:val="0"/>
        <w:spacing w:lineRule="auto" w:line="288" w:before="1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050"/>
                <wp:effectExtent l="0" t="0" r="0" b="0"/>
                <wp:wrapNone/>
                <wp:docPr id="5" name="Frame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23"/>
        <w:gridCol w:w="1394"/>
        <w:gridCol w:w="141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72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278,723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(includes buying, distribution, and occupancy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goods sold (includes buying, distribution, and occupancy costs)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188,480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204,490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74,233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90,398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95,880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(19,707)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(19,690)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of Class A and Class B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of Class A and Class B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050"/>
                <wp:effectExtent l="0" t="0" r="0" b="0"/>
                <wp:wrapNone/>
                <wp:docPr id="6" name="Frame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(LOSS)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21"/>
        <w:gridCol w:w="1650"/>
        <w:gridCol w:w="1616"/>
        <w:gridCol w:w="211"/>
        <w:gridCol w:w="631"/>
        <w:gridCol w:w="109"/>
        <w:gridCol w:w="109"/>
        <w:gridCol w:w="109"/>
        <w:gridCol w:w="109"/>
        <w:gridCol w:w="238"/>
        <w:gridCol w:w="476"/>
        <w:gridCol w:w="122"/>
        <w:gridCol w:w="109"/>
        <w:gridCol w:w="109"/>
        <w:gridCol w:w="109"/>
        <w:gridCol w:w="211"/>
        <w:gridCol w:w="781"/>
        <w:gridCol w:w="109"/>
        <w:gridCol w:w="109"/>
        <w:gridCol w:w="109"/>
        <w:gridCol w:w="109"/>
        <w:gridCol w:w="211"/>
        <w:gridCol w:w="781"/>
        <w:gridCol w:w="157"/>
      </w:tblGrid>
      <w:tr>
        <w:trPr/>
        <w:tc>
          <w:tcPr>
            <w:tcW w:w="192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(loss) gain on available-for-sale securities,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(19,557)</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050"/>
                <wp:effectExtent l="0" t="0" r="0" b="0"/>
                <wp:wrapNone/>
                <wp:docPr id="7" name="Frame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721" w:type="dxa"/>
        <w:jc w:val="center"/>
        <w:tblInd w:w="0" w:type="dxa"/>
        <w:tblLayout w:type="fixed"/>
        <w:tblCellMar>
          <w:top w:w="28" w:type="dxa"/>
          <w:left w:w="28" w:type="dxa"/>
          <w:bottom w:w="28" w:type="dxa"/>
          <w:right w:w="28" w:type="dxa"/>
        </w:tblCellMar>
      </w:tblPr>
      <w:tblGrid>
        <w:gridCol w:w="876"/>
        <w:gridCol w:w="229"/>
        <w:gridCol w:w="231"/>
        <w:gridCol w:w="330"/>
        <w:gridCol w:w="331"/>
        <w:gridCol w:w="276"/>
        <w:gridCol w:w="109"/>
        <w:gridCol w:w="109"/>
        <w:gridCol w:w="109"/>
        <w:gridCol w:w="285"/>
        <w:gridCol w:w="286"/>
        <w:gridCol w:w="276"/>
        <w:gridCol w:w="109"/>
        <w:gridCol w:w="109"/>
        <w:gridCol w:w="109"/>
        <w:gridCol w:w="248"/>
        <w:gridCol w:w="439"/>
        <w:gridCol w:w="139"/>
        <w:gridCol w:w="109"/>
        <w:gridCol w:w="109"/>
        <w:gridCol w:w="109"/>
        <w:gridCol w:w="196"/>
        <w:gridCol w:w="751"/>
        <w:gridCol w:w="109"/>
        <w:gridCol w:w="109"/>
        <w:gridCol w:w="109"/>
        <w:gridCol w:w="109"/>
        <w:gridCol w:w="228"/>
        <w:gridCol w:w="770"/>
        <w:gridCol w:w="128"/>
        <w:gridCol w:w="109"/>
        <w:gridCol w:w="109"/>
        <w:gridCol w:w="109"/>
        <w:gridCol w:w="345"/>
        <w:gridCol w:w="768"/>
        <w:gridCol w:w="193"/>
        <w:gridCol w:w="109"/>
        <w:gridCol w:w="109"/>
        <w:gridCol w:w="109"/>
        <w:gridCol w:w="237"/>
        <w:gridCol w:w="801"/>
        <w:gridCol w:w="133"/>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May 3,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22,846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(96,343)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79,115</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net of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loss on available-for-sale securities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2, 2025</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23,168</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175,648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(93,178)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82,500</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721" w:type="dxa"/>
        <w:jc w:val="center"/>
        <w:tblInd w:w="0" w:type="dxa"/>
        <w:tblLayout w:type="fixed"/>
        <w:tblCellMar>
          <w:top w:w="28" w:type="dxa"/>
          <w:left w:w="28" w:type="dxa"/>
          <w:bottom w:w="28" w:type="dxa"/>
          <w:right w:w="28" w:type="dxa"/>
        </w:tblCellMar>
      </w:tblPr>
      <w:tblGrid>
        <w:gridCol w:w="876"/>
        <w:gridCol w:w="229"/>
        <w:gridCol w:w="231"/>
        <w:gridCol w:w="330"/>
        <w:gridCol w:w="331"/>
        <w:gridCol w:w="276"/>
        <w:gridCol w:w="109"/>
        <w:gridCol w:w="109"/>
        <w:gridCol w:w="109"/>
        <w:gridCol w:w="285"/>
        <w:gridCol w:w="286"/>
        <w:gridCol w:w="276"/>
        <w:gridCol w:w="109"/>
        <w:gridCol w:w="109"/>
        <w:gridCol w:w="109"/>
        <w:gridCol w:w="248"/>
        <w:gridCol w:w="439"/>
        <w:gridCol w:w="139"/>
        <w:gridCol w:w="109"/>
        <w:gridCol w:w="109"/>
        <w:gridCol w:w="109"/>
        <w:gridCol w:w="196"/>
        <w:gridCol w:w="751"/>
        <w:gridCol w:w="109"/>
        <w:gridCol w:w="109"/>
        <w:gridCol w:w="109"/>
        <w:gridCol w:w="109"/>
        <w:gridCol w:w="228"/>
        <w:gridCol w:w="770"/>
        <w:gridCol w:w="128"/>
        <w:gridCol w:w="109"/>
        <w:gridCol w:w="109"/>
        <w:gridCol w:w="109"/>
        <w:gridCol w:w="345"/>
        <w:gridCol w:w="768"/>
        <w:gridCol w:w="193"/>
        <w:gridCol w:w="109"/>
        <w:gridCol w:w="109"/>
        <w:gridCol w:w="109"/>
        <w:gridCol w:w="217"/>
        <w:gridCol w:w="832"/>
        <w:gridCol w:w="122"/>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May 4,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22,751</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173,197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(47,583)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358</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126,002</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option exercises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on available-for-sale securities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3, 2024</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22,846</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173,939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(47,652)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126,773</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050"/>
                <wp:effectExtent l="0" t="0" r="0" b="0"/>
                <wp:wrapNone/>
                <wp:docPr id="8" name="Frame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721" w:type="dxa"/>
        <w:jc w:val="center"/>
        <w:tblInd w:w="0" w:type="dxa"/>
        <w:tblLayout w:type="fixed"/>
        <w:tblCellMar>
          <w:top w:w="28" w:type="dxa"/>
          <w:left w:w="28" w:type="dxa"/>
          <w:bottom w:w="28" w:type="dxa"/>
          <w:right w:w="28" w:type="dxa"/>
        </w:tblCellMar>
      </w:tblPr>
      <w:tblGrid>
        <w:gridCol w:w="799"/>
        <w:gridCol w:w="268"/>
        <w:gridCol w:w="269"/>
        <w:gridCol w:w="330"/>
        <w:gridCol w:w="331"/>
        <w:gridCol w:w="276"/>
        <w:gridCol w:w="109"/>
        <w:gridCol w:w="109"/>
        <w:gridCol w:w="109"/>
        <w:gridCol w:w="285"/>
        <w:gridCol w:w="286"/>
        <w:gridCol w:w="276"/>
        <w:gridCol w:w="109"/>
        <w:gridCol w:w="109"/>
        <w:gridCol w:w="109"/>
        <w:gridCol w:w="248"/>
        <w:gridCol w:w="439"/>
        <w:gridCol w:w="139"/>
        <w:gridCol w:w="109"/>
        <w:gridCol w:w="109"/>
        <w:gridCol w:w="109"/>
        <w:gridCol w:w="196"/>
        <w:gridCol w:w="751"/>
        <w:gridCol w:w="109"/>
        <w:gridCol w:w="109"/>
        <w:gridCol w:w="109"/>
        <w:gridCol w:w="109"/>
        <w:gridCol w:w="228"/>
        <w:gridCol w:w="770"/>
        <w:gridCol w:w="128"/>
        <w:gridCol w:w="109"/>
        <w:gridCol w:w="109"/>
        <w:gridCol w:w="109"/>
        <w:gridCol w:w="345"/>
        <w:gridCol w:w="768"/>
        <w:gridCol w:w="193"/>
        <w:gridCol w:w="109"/>
        <w:gridCol w:w="109"/>
        <w:gridCol w:w="109"/>
        <w:gridCol w:w="217"/>
        <w:gridCol w:w="832"/>
        <w:gridCol w:w="122"/>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February 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22,846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174,829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(74,191)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100,871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net of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loss on available-for-sale securities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2, 2025</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23,168</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175,648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(93,178)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82,500</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721" w:type="dxa"/>
        <w:jc w:val="center"/>
        <w:tblInd w:w="0" w:type="dxa"/>
        <w:tblLayout w:type="fixed"/>
        <w:tblCellMar>
          <w:top w:w="28" w:type="dxa"/>
          <w:left w:w="28" w:type="dxa"/>
          <w:bottom w:w="28" w:type="dxa"/>
          <w:right w:w="28" w:type="dxa"/>
        </w:tblCellMar>
      </w:tblPr>
      <w:tblGrid>
        <w:gridCol w:w="799"/>
        <w:gridCol w:w="268"/>
        <w:gridCol w:w="269"/>
        <w:gridCol w:w="330"/>
        <w:gridCol w:w="331"/>
        <w:gridCol w:w="276"/>
        <w:gridCol w:w="109"/>
        <w:gridCol w:w="109"/>
        <w:gridCol w:w="109"/>
        <w:gridCol w:w="285"/>
        <w:gridCol w:w="286"/>
        <w:gridCol w:w="276"/>
        <w:gridCol w:w="109"/>
        <w:gridCol w:w="109"/>
        <w:gridCol w:w="109"/>
        <w:gridCol w:w="248"/>
        <w:gridCol w:w="439"/>
        <w:gridCol w:w="139"/>
        <w:gridCol w:w="109"/>
        <w:gridCol w:w="109"/>
        <w:gridCol w:w="109"/>
        <w:gridCol w:w="196"/>
        <w:gridCol w:w="751"/>
        <w:gridCol w:w="109"/>
        <w:gridCol w:w="109"/>
        <w:gridCol w:w="109"/>
        <w:gridCol w:w="109"/>
        <w:gridCol w:w="228"/>
        <w:gridCol w:w="770"/>
        <w:gridCol w:w="128"/>
        <w:gridCol w:w="109"/>
        <w:gridCol w:w="109"/>
        <w:gridCol w:w="109"/>
        <w:gridCol w:w="345"/>
        <w:gridCol w:w="768"/>
        <w:gridCol w:w="193"/>
        <w:gridCol w:w="109"/>
        <w:gridCol w:w="109"/>
        <w:gridCol w:w="109"/>
        <w:gridCol w:w="217"/>
        <w:gridCol w:w="832"/>
        <w:gridCol w:w="122"/>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February 3,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22,714</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172,478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(27,962)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144,869</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option exercises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on available-for-sale securities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3, 2024</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22,846</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173,939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(47,652)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126,773</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050"/>
                <wp:effectExtent l="0" t="0" r="0" b="0"/>
                <wp:wrapNone/>
                <wp:docPr id="9" name="Frame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89" w:type="dxa"/>
        <w:jc w:val="center"/>
        <w:tblInd w:w="0" w:type="dxa"/>
        <w:tblLayout w:type="fixed"/>
        <w:tblCellMar>
          <w:top w:w="28" w:type="dxa"/>
          <w:left w:w="28" w:type="dxa"/>
          <w:bottom w:w="28" w:type="dxa"/>
          <w:right w:w="28" w:type="dxa"/>
        </w:tblCellMar>
      </w:tblPr>
      <w:tblGrid>
        <w:gridCol w:w="2598"/>
        <w:gridCol w:w="2286"/>
        <w:gridCol w:w="2301"/>
        <w:gridCol w:w="211"/>
        <w:gridCol w:w="796"/>
        <w:gridCol w:w="109"/>
        <w:gridCol w:w="109"/>
        <w:gridCol w:w="109"/>
        <w:gridCol w:w="109"/>
        <w:gridCol w:w="211"/>
        <w:gridCol w:w="796"/>
        <w:gridCol w:w="154"/>
      </w:tblGrid>
      <w:tr>
        <w:trPr/>
        <w:tc>
          <w:tcPr>
            <w:tcW w:w="2598"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 from casualty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maturities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 from casualty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(decrease) in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36,749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(refunded)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arising from obtaining operating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4050"/>
                <wp:effectExtent l="0" t="0" r="0" b="0"/>
                <wp:wrapNone/>
                <wp:docPr id="10" name="Frame1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Description of the Company and 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Tillys is a destination specialty retailer of casual apparel, footwear, and accessories for young men, young women, boys and girls with an extensive assortment of iconic global, emerging, and proprietary brands rooted in an active, outdoor and social lifestyle. Tillys is headquartered in Irvine, California and operated 232 stores, in 33 states as of August 2, 2025. Our stores are located in malls, lifestyle centers, ‘power’ centers, community centers, outlet centers and street-front locations. Customers may also shop online at www.tillys.com, where we feature the same assortment of products as carried in our brick-and-mortar stores, supplemented by additional online-only styles. Our goal is to serve as a destination for the latest, most relevant merchandise and brands important to our customers.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Tillys concept began in 1982, when our co-founders, Hezy Shaked and Tilly Levine, opened their first store in Orange County, California. Since 1984, the business has been conducted through World of Jeans &amp; Tops, a California corporation, or “WOJT”, which operates under the name “Tillys”. In May 2011, Tilly’s, Inc., a Delaware corporation, was formed solely for the purpose of reorganizing the corporate structure of WOJT in preparation for an initial public offering. As part of the initial public offering in May 2012, WOJT became a wholly owned subsidiary of Tilly's,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Tilly's, Inc. and WOJT. All intercompany accounts and transactions have been eliminated in consolidation.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used in these Notes to the Consolidated Financial Statements, except where the context otherwise requires or where otherwise indicated, the terms "the Company", "we", "our", "us" and "Tillys" refer to Tilly's, Inc. and its subsidiary, WOJT.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prepared the accompanying unaudited consolidated financial statements in accordance with accounting principles generally accepted in the United States of America ("GAAP") for interim financial reporting. These unaudited consolidated financial statements have been prepared pursuant to the rules and regulations of the Securities and Exchange Commission (the "SEC"). Certain information and footnote disclosures normally included in financial statements prepared in accordance with GAAP have been omitted from this Quarterly Report on Form 10-Q as is permitted by SEC rules and regulations.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consolidated financial statements contain all normal and recurring adjustments necessary to present fairly the financial condition, results of operations and cash flows for the interim periods presented. The results of operations for the thirteen and twenty-six week periods ended August 2, 2025 are not necessarily indicative of results to be expected for the full fiscal year. The accompanying unaudited consolidated financial statements should be read in conjunction with the consolidated financial statements and notes included in our Annual Report on Form 10-K for the fiscal year ended February 1, 2025 ("fiscal 2024").</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Fiscal Periods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fiscal year ends on the Saturday closest to January 31. References to fiscal 2025 refer to the fiscal year ending January 31, 2026. References to the fiscal quarters or first halves ended August 2, 2025 and August 3, 2024 refer to the thirteen and twenty-six week periods ended as of those dates,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regarding our significant accounting policies is contained in Note 2, “Summary of Significant Accounting Policies”, of the consolidated financial statements in our Annual Report on Form 10-K for the fiscal year ended February 1, 2025. </w:t>
      </w:r>
    </w:p>
    <w:p>
      <w:pPr>
        <w:pStyle w:val="TextBody"/>
        <w:bidi w:val="0"/>
        <w:spacing w:lineRule="auto" w:line="288" w:before="120" w:after="283"/>
        <w:jc w:val="left"/>
        <w:rPr/>
      </w:pPr>
      <w:r>
        <w:rPr>
          <w:rFonts w:ascii="Times New Roman;serif" w:hAnsi="Times New Roman;serif"/>
          <w:b/>
          <w:i/>
          <w:color w:val="000000"/>
          <w:sz w:val="20"/>
        </w:rPr>
        <w:t>Revenue Recognition</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recognized for store sales when the customer receives and pays for the merchandise at the register, net of estimated returns and taxes collected from our customers. For e-commerce ("e-com") net sales, we recognize revenue, net of sales taxes and estimated sales returns, and the related cost of goods sold at the time the merchandise is shipped to the customer. Amounts related to shipping and handling that are billed to customers are reflected in net sales, and the related costs are reflected in cost of goods sold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54050"/>
                <wp:effectExtent l="0" t="0" r="0" b="0"/>
                <wp:wrapNone/>
                <wp:docPr id="11" name="Frame1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sales from our retail stores and e-com (in thousands):</w:t>
      </w:r>
    </w:p>
    <w:tbl>
      <w:tblPr>
        <w:tblW w:w="7005" w:type="dxa"/>
        <w:jc w:val="center"/>
        <w:tblInd w:w="0" w:type="dxa"/>
        <w:tblLayout w:type="fixed"/>
        <w:tblCellMar>
          <w:top w:w="28" w:type="dxa"/>
          <w:left w:w="28" w:type="dxa"/>
          <w:bottom w:w="28" w:type="dxa"/>
          <w:right w:w="28" w:type="dxa"/>
        </w:tblCellMar>
      </w:tblPr>
      <w:tblGrid>
        <w:gridCol w:w="483"/>
        <w:gridCol w:w="425"/>
        <w:gridCol w:w="42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stores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E-com</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162,867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278,723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net sales by department:</w:t>
      </w:r>
    </w:p>
    <w:tbl>
      <w:tblPr>
        <w:tblW w:w="6713" w:type="dxa"/>
        <w:jc w:val="center"/>
        <w:tblInd w:w="0" w:type="dxa"/>
        <w:tblLayout w:type="fixed"/>
        <w:tblCellMar>
          <w:top w:w="28" w:type="dxa"/>
          <w:left w:w="28" w:type="dxa"/>
          <w:bottom w:w="28" w:type="dxa"/>
          <w:right w:w="28" w:type="dxa"/>
        </w:tblCellMar>
      </w:tblPr>
      <w:tblGrid>
        <w:gridCol w:w="482"/>
        <w:gridCol w:w="421"/>
        <w:gridCol w:w="432"/>
        <w:gridCol w:w="246"/>
        <w:gridCol w:w="235"/>
        <w:gridCol w:w="514"/>
        <w:gridCol w:w="161"/>
        <w:gridCol w:w="161"/>
        <w:gridCol w:w="161"/>
        <w:gridCol w:w="246"/>
        <w:gridCol w:w="235"/>
        <w:gridCol w:w="514"/>
        <w:gridCol w:w="109"/>
        <w:gridCol w:w="109"/>
        <w:gridCol w:w="109"/>
        <w:gridCol w:w="245"/>
        <w:gridCol w:w="236"/>
        <w:gridCol w:w="514"/>
        <w:gridCol w:w="177"/>
        <w:gridCol w:w="177"/>
        <w:gridCol w:w="177"/>
        <w:gridCol w:w="239"/>
        <w:gridCol w:w="242"/>
        <w:gridCol w:w="571"/>
      </w:tblGrid>
      <w:tr>
        <w:trPr/>
        <w:tc>
          <w:tcPr>
            <w:tcW w:w="48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Mens</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Womens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Footwear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Girls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net sales by third-party and proprietary branded merchandise:</w:t>
      </w:r>
    </w:p>
    <w:tbl>
      <w:tblPr>
        <w:tblW w:w="6713" w:type="dxa"/>
        <w:jc w:val="center"/>
        <w:tblInd w:w="0" w:type="dxa"/>
        <w:tblLayout w:type="fixed"/>
        <w:tblCellMar>
          <w:top w:w="28" w:type="dxa"/>
          <w:left w:w="28" w:type="dxa"/>
          <w:bottom w:w="28" w:type="dxa"/>
          <w:right w:w="28" w:type="dxa"/>
        </w:tblCellMar>
      </w:tblPr>
      <w:tblGrid>
        <w:gridCol w:w="484"/>
        <w:gridCol w:w="424"/>
        <w:gridCol w:w="427"/>
        <w:gridCol w:w="246"/>
        <w:gridCol w:w="235"/>
        <w:gridCol w:w="514"/>
        <w:gridCol w:w="161"/>
        <w:gridCol w:w="161"/>
        <w:gridCol w:w="161"/>
        <w:gridCol w:w="246"/>
        <w:gridCol w:w="235"/>
        <w:gridCol w:w="514"/>
        <w:gridCol w:w="109"/>
        <w:gridCol w:w="109"/>
        <w:gridCol w:w="109"/>
        <w:gridCol w:w="245"/>
        <w:gridCol w:w="236"/>
        <w:gridCol w:w="514"/>
        <w:gridCol w:w="177"/>
        <w:gridCol w:w="177"/>
        <w:gridCol w:w="177"/>
        <w:gridCol w:w="239"/>
        <w:gridCol w:w="242"/>
        <w:gridCol w:w="571"/>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accrue for estimated sales returns by customers based on historical sales return results. As of August 2, 2025, February 1, 2025 and August 3, 2024, our reserve for sales returns was $3.0 million, $1.2 million and $3.4 million, respectively, and is included in accrued expenses on the accompanying Consolidated Balance Sheets.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recognize revenue from gift cards as they are redeemed for merchandise. Prior to redemption, we maintain a current liability for unredeemed gift card balances. The customer liability balance was $8.2 million, $9.5 million and $8.8 million as of August 2, 2025, February 1, 2025 and August 3, 2024, respectively, and is included in deferred revenue on the accompanying Consolidated Balance Sheets. Our gift cards do not have expiration dates, and in most cases there is no legal obligation to remit unredeemed gift cards to relevant jurisdictions. Based on actual historical redemption patterns, we determined that a small percentage of gift cards are unlikely to be redeemed (which we refer to as gift card "breakage"). Based on our historical gift card breakage rate, we recognize breakage revenue over the redemption period in proportion to actual gift card redemptions. Revenue recognized from gift cards was $2.3 million and $2.6 million for the thirteen weeks ended August 2, 2025 and August 3, 2024, respectively. For the thirteen weeks ended August 2, 2025 and August 3, 2024, the opening gift card balance was $8.8 million and $9.4 million, respectively, of which $0.9 million and $1.1 million, respectively, were recognized as revenue during these periods. Revenue recognized from gift cards was $4.5 million and $5.2 million for the twenty-six weeks ended August 2, 2025 and August 3, 2024, respectively. For the twenty-six weeks ended August 2, 2025 and August 3, 2024, the opening gift card balance was $9.5 million and $10.2 million, respectively, of which $2.4 million and $2.8 million, respectively, were recognized as revenue during these periods.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customer loyalty program where customers accumulate points based on purchase activity. Once a loyalty member achieves a certain point level, the member earns an award that may be used towards the purchase of merchandise. Unredeemed awards and accumulated partial points are accrued as deferred revenue and awards redeemed by the member for merchandise are recorded as an increase to net sales. Our loyalty program allows customers to redeem their awards instantly or build up to additional awards over time. Unredeemed awards and accumulated partial points expire 365 days after the customer's original purchase date. A liability is estimated based on the standalone selling price of points earned and expected future redemptions. The deferred revenue for this program was $4.6 million, $4.6 million, and $4.8 million as of August 2, 2025, February 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4050"/>
                <wp:effectExtent l="0" t="0" r="0" b="0"/>
                <wp:wrapNone/>
                <wp:docPr id="12" name="Frame1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and August 3, 2024, respectively. The value of points redeemed through our loyalty program was $1.8 million and $2.1 million for the thirteen-weeks ended August 2, 2025 and August 3, 2024, respectively. For the thirteen weeks ended August 2, 2025 and August 3, 2024, the opening loyalty program balance was $4.6 million and $4.8 million, respectively, of which $1.5 million and $1.6 million, respectively were recognized as revenue during these periods. The value of points redeemed through our loyalty program was $3.1 million and $3.7 million for the twenty-six weeks ended August 2, 2025 and August 3, 2024, respectively. For the twenty-six weeks ended August 2, 2025 and August 3, 2024, the opening loyalty program balance was $4.6 million and $4.7 million, respectively, of which $2.5 million and $2.6 million, respectively were recognized as revenue during these periods.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Depreciation is calculated using the straight-line method over the estimated useful lives of the assets. Equipment is depreciated over five to seven years. Furniture and fixtures are depreciated over five years. Computer software is depreciated over three years. Leasehold improvements and the cost of acquiring leasehold rights are amortized over the lesser of the term of the lease or the estimated useful life of the improvement. The cost of assets sold or retired and the related accumulated depreciation is removed from the accounts with any resulting gain or loss included in net loss in the accompanying Consolidated Statements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Repairs and maintenance costs are charged directly to expense as incurred. Major renewals, replacements and improvements that substantially extend the useful life of an asset are capitalized and depreciated.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August 2, 2025, February 1, 2025 and August 3, 2024, property and equipment consisted of the following (in thousands):</w:t>
      </w:r>
    </w:p>
    <w:tbl>
      <w:tblPr>
        <w:tblW w:w="6912" w:type="dxa"/>
        <w:jc w:val="left"/>
        <w:tblInd w:w="0" w:type="dxa"/>
        <w:tblLayout w:type="fixed"/>
        <w:tblCellMar>
          <w:top w:w="28" w:type="dxa"/>
          <w:left w:w="28" w:type="dxa"/>
          <w:bottom w:w="28" w:type="dxa"/>
          <w:right w:w="28" w:type="dxa"/>
        </w:tblCellMar>
      </w:tblPr>
      <w:tblGrid>
        <w:gridCol w:w="1005"/>
        <w:gridCol w:w="883"/>
        <w:gridCol w:w="887"/>
        <w:gridCol w:w="211"/>
        <w:gridCol w:w="826"/>
        <w:gridCol w:w="109"/>
        <w:gridCol w:w="109"/>
        <w:gridCol w:w="109"/>
        <w:gridCol w:w="109"/>
        <w:gridCol w:w="211"/>
        <w:gridCol w:w="826"/>
        <w:gridCol w:w="109"/>
        <w:gridCol w:w="109"/>
        <w:gridCol w:w="109"/>
        <w:gridCol w:w="109"/>
        <w:gridCol w:w="211"/>
        <w:gridCol w:w="82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gross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288,957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297,659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44,612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was $2.8 million and $3.2 million for the thirteen-weeks ended August 2, 2025 and August 3, 2024, respectively. Depreciation expense related to property and equipment was $5.6 million and $6.3 million for the twenty-six weeks ended August 2, 2025 and August 3, 2024, respectively.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Leases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conduct all of our retail sales and corporate operations in leased facilities. Lease terms generally range up to 10 years in duration (subject to elective extensions) and provide for escalations in base rents. Many of our store leases contain one or more options to renew the lease at our sole discretion. Generally, we do not consider any additional renewal periods to be reasonably certain of being exercised.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Most store leases include tenant allowances from landlords, rent escalation clauses and/or contingent rent provisions. Certain leases provide for additional rent based on a percentage of sales and annual rent increases generally based upon the Consumer Price Index. In addition, most of our store leases are net leases, which typically require us to be responsible for certain property operating expenses, including property taxes, insurance, common area maintenance, in addition to base rent. Many of our store leases contain certain co-tenancy provisions that permit us to pay rent based on a pre-determined percentage of sales when the occupancy of the retail center falls below minimums established in the lease. For non-cancelable operating lease agreements, operating lease assets and operating lease liabilities are established for leases with an expected term greater than one year, and we recognize a single lease cost, with such cost allocated over the lease term, on a straight-line basis. We do not record any leases with terms of 12 months or less as operating lease assets or operating lease liabilities, these are instead expensed as incurred. Contingent rent, determined based on a percentage of net sales in excess of specified levels, is recognized as rent expense when the achievement of those specified net sales is probable.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leases typically include non-lease components such as common-area maintenance costs, utilities, and other maintenance costs. We have elected to include non-lease components with the lease payments for the purpose of calculating the lease right-of-use assets and liabilities to the extent that they are fixed. Non-lease components that are not fixed are expensed as incurred as variable lease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54050"/>
                <wp:effectExtent l="0" t="0" r="0" b="0"/>
                <wp:wrapNone/>
                <wp:docPr id="13" name="Frame1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lease approximately 172,000 square feet of office and warehouse space (10 and 12 Whatney, Irvine, California) from a company that is owned by the co-founders of Tillys. During each of the thirteen and twenty-six week periods ended August 2, 2025 and August 3, 2024, we incurred rent expense of $0.5 million and $1.1 million related to this lease. Pursuant to the lease agreement, the lease payment adjusts annually based upon the Los Angeles/Anaheim/Riverside Urban Consumer Price Index (the "LAARUCPI"), not to exceed 7%. The lease began on January 1, 2003 and terminates on December 31, 2027.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lease approximately 26,000 square feet of office and warehouse space (11 Whatney, Irvine, California) from a company that is owned by one of the co-founders of Tillys. During each of the thirteen and twenty-six week periods ended August 2, 2025 and August 3, 2024 we incurred rent expense of $0.2 million and $0.3 million related to this lease. Pursuant to the lease agreement, the lease payment adjusts annually at the greater of 5% or the change in the LAARUCPI. The lease began on June 29, 2012 and terminates on June 30, 2032.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lease approximately 81,000 square feet of office and warehouse space (17 Pasteur, Irvine, California) from a company that is owned by one of the co-founders of Tillys. We use this property as our e-com distribution center. During the thirteen and twenty-six week periods ended August 2, 2025, we incurred rent expense of $0.4 million and $0.8 million related to this lease. During the thirteen and twenty-six week periods ended August 3, 2024, we incurred rent expense of $0.4 million and $0.7 million related to this lease. The lease payment adjusts annually based upon the greater of 5% or the change in the LAARUCPI. The lease began on November 1, 2011 and terminates on October 31, 2031.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sublease a portion of our office space, approximately 5,887 square feet, in the 17 Pasteur, Irvine, California facility to Tilly's Life Center ("TLC"), a related party and a charitable organization. During the thirteen-week periods ended August 2, 2025 and August 3, 2024 we recorded sublease income of $24.5 thousand and $23.4 thousand, respectively, related to this lease. During the twenty-six week periods ended August 2, 2025 and August 3, 2024 we recorded sublease income of $49.1 thousand and $46.7 thousand, respectively, related to this lease. The lease term is for five years and terminates on January 31, 2027. Sublease income is recognized on a straight-line basis over the sublease agreement and is recorded as an offset within the selling, general and administrative section in the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maturity of operating lease liabilities and sublease income as of August 2, 2025 were as follows (in thousands):</w:t>
      </w:r>
    </w:p>
    <w:tbl>
      <w:tblPr>
        <w:tblW w:w="8910" w:type="dxa"/>
        <w:jc w:val="left"/>
        <w:tblInd w:w="0" w:type="dxa"/>
        <w:tblLayout w:type="fixed"/>
        <w:tblCellMar>
          <w:top w:w="28" w:type="dxa"/>
          <w:left w:w="28" w:type="dxa"/>
          <w:bottom w:w="28" w:type="dxa"/>
          <w:right w:w="28" w:type="dxa"/>
        </w:tblCellMar>
      </w:tblPr>
      <w:tblGrid>
        <w:gridCol w:w="1318"/>
        <w:gridCol w:w="1162"/>
        <w:gridCol w:w="1165"/>
        <w:gridCol w:w="254"/>
        <w:gridCol w:w="889"/>
        <w:gridCol w:w="131"/>
        <w:gridCol w:w="211"/>
        <w:gridCol w:w="841"/>
        <w:gridCol w:w="109"/>
        <w:gridCol w:w="211"/>
        <w:gridCol w:w="841"/>
        <w:gridCol w:w="109"/>
        <w:gridCol w:w="398"/>
        <w:gridCol w:w="910"/>
        <w:gridCol w:w="207"/>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Related Party</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Sublease Income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minimum lease payments</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20,046</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192,149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operating lease liabilities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17,596</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161,037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178,633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2, 2025, additional operating lease liabilities that had not yet commenced were $1.8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expense for the thirteen and twenty-six week periods ended August 2, 2025 and August 3, 2024 was as follows (in thousands):</w:t>
      </w:r>
    </w:p>
    <w:tbl>
      <w:tblPr>
        <w:tblW w:w="10205" w:type="dxa"/>
        <w:jc w:val="left"/>
        <w:tblInd w:w="0" w:type="dxa"/>
        <w:tblLayout w:type="fixed"/>
        <w:tblCellMar>
          <w:top w:w="28" w:type="dxa"/>
          <w:left w:w="28" w:type="dxa"/>
          <w:bottom w:w="28" w:type="dxa"/>
          <w:right w:w="28" w:type="dxa"/>
        </w:tblCellMar>
      </w:tblPr>
      <w:tblGrid>
        <w:gridCol w:w="643"/>
        <w:gridCol w:w="566"/>
        <w:gridCol w:w="568"/>
        <w:gridCol w:w="109"/>
        <w:gridCol w:w="109"/>
        <w:gridCol w:w="109"/>
        <w:gridCol w:w="270"/>
        <w:gridCol w:w="943"/>
        <w:gridCol w:w="139"/>
        <w:gridCol w:w="109"/>
        <w:gridCol w:w="109"/>
        <w:gridCol w:w="109"/>
        <w:gridCol w:w="211"/>
        <w:gridCol w:w="481"/>
        <w:gridCol w:w="109"/>
        <w:gridCol w:w="109"/>
        <w:gridCol w:w="109"/>
        <w:gridCol w:w="109"/>
        <w:gridCol w:w="211"/>
        <w:gridCol w:w="736"/>
        <w:gridCol w:w="109"/>
        <w:gridCol w:w="109"/>
        <w:gridCol w:w="109"/>
        <w:gridCol w:w="109"/>
        <w:gridCol w:w="270"/>
        <w:gridCol w:w="943"/>
        <w:gridCol w:w="139"/>
        <w:gridCol w:w="109"/>
        <w:gridCol w:w="109"/>
        <w:gridCol w:w="109"/>
        <w:gridCol w:w="211"/>
        <w:gridCol w:w="481"/>
        <w:gridCol w:w="109"/>
        <w:gridCol w:w="109"/>
        <w:gridCol w:w="109"/>
        <w:gridCol w:w="109"/>
        <w:gridCol w:w="211"/>
        <w:gridCol w:w="736"/>
        <w:gridCol w:w="157"/>
      </w:tblGrid>
      <w:tr>
        <w:trPr/>
        <w:tc>
          <w:tcPr>
            <w:tcW w:w="6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 2024</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19,316</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20,469</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20,832</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54050"/>
                <wp:effectExtent l="0" t="0" r="0" b="0"/>
                <wp:wrapNone/>
                <wp:docPr id="14" name="Frame1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3"/>
        <w:gridCol w:w="566"/>
        <w:gridCol w:w="568"/>
        <w:gridCol w:w="109"/>
        <w:gridCol w:w="109"/>
        <w:gridCol w:w="109"/>
        <w:gridCol w:w="270"/>
        <w:gridCol w:w="943"/>
        <w:gridCol w:w="139"/>
        <w:gridCol w:w="109"/>
        <w:gridCol w:w="109"/>
        <w:gridCol w:w="109"/>
        <w:gridCol w:w="211"/>
        <w:gridCol w:w="481"/>
        <w:gridCol w:w="109"/>
        <w:gridCol w:w="109"/>
        <w:gridCol w:w="109"/>
        <w:gridCol w:w="109"/>
        <w:gridCol w:w="211"/>
        <w:gridCol w:w="736"/>
        <w:gridCol w:w="109"/>
        <w:gridCol w:w="109"/>
        <w:gridCol w:w="109"/>
        <w:gridCol w:w="109"/>
        <w:gridCol w:w="270"/>
        <w:gridCol w:w="943"/>
        <w:gridCol w:w="139"/>
        <w:gridCol w:w="109"/>
        <w:gridCol w:w="109"/>
        <w:gridCol w:w="109"/>
        <w:gridCol w:w="211"/>
        <w:gridCol w:w="481"/>
        <w:gridCol w:w="109"/>
        <w:gridCol w:w="109"/>
        <w:gridCol w:w="109"/>
        <w:gridCol w:w="109"/>
        <w:gridCol w:w="211"/>
        <w:gridCol w:w="736"/>
        <w:gridCol w:w="157"/>
      </w:tblGrid>
      <w:tr>
        <w:trPr/>
        <w:tc>
          <w:tcPr>
            <w:tcW w:w="6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 2024</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39,387</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40,954</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41,687</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lease information for the twenty-six weeks ended August 2, 2025 and August 3, 2024 was as follows:</w:t>
      </w:r>
    </w:p>
    <w:tbl>
      <w:tblPr>
        <w:tblW w:w="10205" w:type="dxa"/>
        <w:jc w:val="center"/>
        <w:tblInd w:w="0" w:type="dxa"/>
        <w:tblLayout w:type="fixed"/>
        <w:tblCellMar>
          <w:top w:w="28" w:type="dxa"/>
          <w:left w:w="28" w:type="dxa"/>
          <w:bottom w:w="28" w:type="dxa"/>
          <w:right w:w="28" w:type="dxa"/>
        </w:tblCellMar>
      </w:tblPr>
      <w:tblGrid>
        <w:gridCol w:w="2381"/>
        <w:gridCol w:w="2087"/>
        <w:gridCol w:w="2098"/>
        <w:gridCol w:w="428"/>
        <w:gridCol w:w="411"/>
        <w:gridCol w:w="401"/>
        <w:gridCol w:w="224"/>
        <w:gridCol w:w="224"/>
        <w:gridCol w:w="224"/>
        <w:gridCol w:w="424"/>
        <w:gridCol w:w="407"/>
        <w:gridCol w:w="408"/>
        <w:gridCol w:w="109"/>
        <w:gridCol w:w="109"/>
        <w:gridCol w:w="109"/>
        <w:gridCol w:w="161"/>
      </w:tblGrid>
      <w:tr>
        <w:trPr/>
        <w:tc>
          <w:tcPr>
            <w:tcW w:w="2381"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 (in thousands)</w:t>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$34,930</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$36,658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 years</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interest rate </w:t>
            </w:r>
            <w:r>
              <w:rPr>
                <w:rFonts w:ascii="Times New Roman;serif" w:hAnsi="Times New Roman;serif"/>
                <w:b/>
                <w:color w:val="000000"/>
                <w:sz w:val="20"/>
              </w:rPr>
              <w:t>(1)</w:t>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7.01%</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color w:val="000000"/>
          <w:sz w:val="16"/>
        </w:rPr>
        <w:t xml:space="preserve">(1) </w:t>
      </w:r>
      <w:r>
        <w:rPr>
          <w:rFonts w:ascii="Times New Roman;serif" w:hAnsi="Times New Roman;serif"/>
          <w:b w:val="false"/>
          <w:color w:val="000000"/>
          <w:sz w:val="16"/>
        </w:rPr>
        <w:t>Since our leases do not provide an implicit rate, we used our incremental borrowing rate ("IBR") at lease inception, or lease modification, in determining the present value of future minimum payments. In determining an appropriate IBR, our assumptions included the use of a consistent discount rate for a portfolio of leases entered into at varying dates, the full 10-year term of the lease, excluding any options, and the total minimum lease payments.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was 0.9% of pre-tax loss, compared to 0.1% of pre-tax loss, for the twenty-six weeks ended August 2, 2025 and August 3, 2024, respectively. Both years' income tax rates are lower than the combined estimated federal and state statutory rates as they include the continuing impact of a full, non-cash deferred tax asset valuation allowance. The income tax rate for fiscal 2025 also includes the refund of certain income tax credit carryforwards and state income tax carryback claims.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This new legislation has multiple effective dates, with certain provisions becoming effective in 2025 and others implemented through 2027. The net effect of OBBBA did not have a material impact on the Company’s effective tax rate for the period due to the full valuation allowance the Company maintains. The Company continues to evaluate the impact of OBBBA on its consolidated financial statements and will update its estimates as additional guidance becomes available.</w:t>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Standards </w:t>
      </w:r>
    </w:p>
    <w:p>
      <w:pPr>
        <w:pStyle w:val="TextBody"/>
        <w:bidi w:val="0"/>
        <w:spacing w:lineRule="auto" w:line="276" w:before="0" w:after="0"/>
        <w:jc w:val="left"/>
        <w:rPr/>
      </w:pPr>
      <w:r>
        <w:rPr>
          <w:rFonts w:ascii="Times New Roman;serif" w:hAnsi="Times New Roman;serif"/>
          <w:b w:val="false"/>
          <w:color w:val="000000"/>
          <w:sz w:val="20"/>
        </w:rPr>
        <w:t xml:space="preserve">In November 2023, the FASB issued Accounting Standards Update, </w:t>
      </w:r>
      <w:r>
        <w:rPr>
          <w:rFonts w:ascii="Times New Roman;serif" w:hAnsi="Times New Roman;serif"/>
          <w:b w:val="false"/>
          <w:i/>
          <w:color w:val="000000"/>
          <w:sz w:val="20"/>
        </w:rPr>
        <w:t xml:space="preserve">Segment reporting (Topic 280): Improvements to Reportable Segment Disclosures </w:t>
      </w:r>
      <w:r>
        <w:rPr>
          <w:rFonts w:ascii="Times New Roman;serif" w:hAnsi="Times New Roman;serif"/>
          <w:b w:val="false"/>
          <w:color w:val="000000"/>
          <w:sz w:val="20"/>
        </w:rPr>
        <w:t>(“ASU 2023-07”)</w:t>
      </w:r>
      <w:r>
        <w:rPr>
          <w:rFonts w:ascii="Times New Roman;serif" w:hAnsi="Times New Roman;serif"/>
          <w:b w:val="false"/>
          <w:i/>
          <w:color w:val="000000"/>
          <w:sz w:val="20"/>
        </w:rPr>
        <w:t xml:space="preserve">, </w:t>
      </w:r>
      <w:r>
        <w:rPr>
          <w:rFonts w:ascii="Times New Roman;serif" w:hAnsi="Times New Roman;serif"/>
          <w:b w:val="false"/>
          <w:color w:val="000000"/>
          <w:sz w:val="20"/>
        </w:rPr>
        <w:t>which amended Topic 280. The amendments in this update enhance segment reporting by expanding the breadth and frequency of segment disclosures required by public entities. ASU 2023-07 requires public entities to disclose factors used to identify the entities' reportable segments, how the Chief Operating Decision Maker (“CODM”) uses the reported measure(s) of a segment's profit or loss to assess segment performance and decide how to allocate resources, significant expenses regularly provided to the CODM and included within the reported measure(s) of a segment's profit or loss, types of products and services from which each reportable segment derives its revenues, and the title and position of the CODM. The new standard is effective for public entities with fiscal years beginning after December 15, 2023 and interim periods within fiscal years beginning after December 15, 2024, with early adoption permitted and is required to be adopted retrospectively for all prior periods presented in the consolidated financial statements. This guidance was effective for us for the annual report for fiscal 2024 and subsequent interim periods and we have adopted the guidance as of the effective date on a retrospective basis. Other than the new disclosure requirements, the adoption of this guidance did not have a significant impact on our consolidated financial statements. Refer to "Note 9: Segment Information" for further information.</w:t>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New Accounting Standards Not Yet Adopted</w:t>
      </w:r>
    </w:p>
    <w:p>
      <w:pPr>
        <w:pStyle w:val="TextBody"/>
        <w:bidi w:val="0"/>
        <w:spacing w:lineRule="auto" w:line="276" w:before="0" w:after="0"/>
        <w:jc w:val="left"/>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(“ASU 2023-09”).</w:t>
      </w:r>
      <w:r>
        <w:rPr>
          <w:color w:val="000000"/>
        </w:rPr>
        <w:t xml:space="preserve"> </w:t>
      </w:r>
      <w:r>
        <w:rPr>
          <w:rFonts w:ascii="Times New Roman;serif" w:hAnsi="Times New Roman;serif"/>
          <w:b w:val="false"/>
          <w:color w:val="000000"/>
          <w:sz w:val="20"/>
        </w:rPr>
        <w:t xml:space="preserve">ASU 2023-09 requires disaggregated information about a reporting entity's effective tax rate reconciliation as well as information on income taxes paid and other disclosures. The new standard is effective for public entities with annual periods beginning after December 15, 2024, with early adoption permitted and should be applied prospectively with the option of retrospective application. Once adopted, we expect to include additional income tax disclosures as required by the new guidance. The standard will not have an impact on our consolidated financial position, results of operations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54050"/>
                <wp:effectExtent l="0" t="0" r="0" b="0"/>
                <wp:wrapNone/>
                <wp:docPr id="15" name="Frame1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 (Subtopic 220-40): Reporting Comprehensive Income - Expense Disaggregation Disclosures: Disaggregation of Income Statement Expenses,</w:t>
      </w:r>
      <w:r>
        <w:rPr>
          <w:color w:val="000000"/>
        </w:rPr>
        <w:t xml:space="preserve"> </w:t>
      </w:r>
      <w:r>
        <w:rPr>
          <w:rFonts w:ascii="Times New Roman;serif" w:hAnsi="Times New Roman;serif"/>
          <w:b w:val="false"/>
          <w:color w:val="000000"/>
          <w:sz w:val="20"/>
        </w:rPr>
        <w:t>("ASU 2024-03"). ASU 2024-03 requires public business entities to disclose in the notes to the financial statements, among other things, specific information about certain costs and expenses including purchases of inventory, employee compensation, and depreciation and amortization. This new standard is effective for fiscal years beginning after December 15, 2026 and interim reporting periods beginning after December 15, 2027, with early adoption permitted and should be applied prospectively with the option of retrospective application. We are currently evaluating the impact of this guidance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3: Marketable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consisted of commercial paper, classified as available-for-sale, and fixed income securities, classified as held-to-maturity, as we had the intent and ability to hold them to maturity. Our investments in commercial paper and fixed income securities were recorded at fair value and amortized cost, respectively, which approximated 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investments in marketable securities as of February 1, 2025 and August 3, 2024 (in thousands). We did not have any marketable securities as of August 2, 2025.</w:t>
      </w:r>
    </w:p>
    <w:tbl>
      <w:tblPr>
        <w:tblW w:w="9102" w:type="dxa"/>
        <w:jc w:val="left"/>
        <w:tblInd w:w="0" w:type="dxa"/>
        <w:tblLayout w:type="fixed"/>
        <w:tblCellMar>
          <w:top w:w="28" w:type="dxa"/>
          <w:left w:w="28" w:type="dxa"/>
          <w:bottom w:w="28" w:type="dxa"/>
          <w:right w:w="28" w:type="dxa"/>
        </w:tblCellMar>
      </w:tblPr>
      <w:tblGrid>
        <w:gridCol w:w="885"/>
        <w:gridCol w:w="778"/>
        <w:gridCol w:w="782"/>
        <w:gridCol w:w="284"/>
        <w:gridCol w:w="994"/>
        <w:gridCol w:w="147"/>
        <w:gridCol w:w="109"/>
        <w:gridCol w:w="109"/>
        <w:gridCol w:w="109"/>
        <w:gridCol w:w="413"/>
        <w:gridCol w:w="946"/>
        <w:gridCol w:w="216"/>
        <w:gridCol w:w="109"/>
        <w:gridCol w:w="109"/>
        <w:gridCol w:w="109"/>
        <w:gridCol w:w="457"/>
        <w:gridCol w:w="881"/>
        <w:gridCol w:w="237"/>
        <w:gridCol w:w="109"/>
        <w:gridCol w:w="109"/>
        <w:gridCol w:w="109"/>
        <w:gridCol w:w="211"/>
        <w:gridCol w:w="73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5232" w:type="dxa"/>
            <w:gridSpan w:val="18"/>
            <w:tcBorders/>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6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1, 2025</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Cost or </w:t>
              <w:b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br/>
              <w:t>Holding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br/>
              <w:t>Holding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marketable securities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25,453</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25,653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 2024</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Cost or </w:t>
              <w:b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br/>
              <w:t>Holding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br/>
              <w:t>Holding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marketable securities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39,494</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39,947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recognized gains on investments for commercial paper that matured during the thirteen and twenty-six week periods ended August 2, 2025 and August 3, 2024. In determining those gains, we used the actual cost of the securities sold. Upon recognition of the gains, we recognized these amounts out of "Accumulated other comprehensive income" and into “Other income, net” on the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gains on investments for commercial paper (in thousands):</w:t>
      </w:r>
    </w:p>
    <w:tbl>
      <w:tblPr>
        <w:tblW w:w="6594" w:type="dxa"/>
        <w:jc w:val="center"/>
        <w:tblInd w:w="0" w:type="dxa"/>
        <w:tblLayout w:type="fixed"/>
        <w:tblCellMar>
          <w:top w:w="28" w:type="dxa"/>
          <w:left w:w="28" w:type="dxa"/>
          <w:bottom w:w="28" w:type="dxa"/>
          <w:right w:w="28" w:type="dxa"/>
        </w:tblCellMar>
      </w:tblPr>
      <w:tblGrid>
        <w:gridCol w:w="674"/>
        <w:gridCol w:w="592"/>
        <w:gridCol w:w="594"/>
        <w:gridCol w:w="237"/>
        <w:gridCol w:w="525"/>
        <w:gridCol w:w="122"/>
        <w:gridCol w:w="116"/>
        <w:gridCol w:w="116"/>
        <w:gridCol w:w="116"/>
        <w:gridCol w:w="237"/>
        <w:gridCol w:w="525"/>
        <w:gridCol w:w="122"/>
        <w:gridCol w:w="109"/>
        <w:gridCol w:w="109"/>
        <w:gridCol w:w="109"/>
        <w:gridCol w:w="249"/>
        <w:gridCol w:w="550"/>
        <w:gridCol w:w="128"/>
        <w:gridCol w:w="128"/>
        <w:gridCol w:w="128"/>
        <w:gridCol w:w="128"/>
        <w:gridCol w:w="249"/>
        <w:gridCol w:w="550"/>
        <w:gridCol w:w="181"/>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investments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4: Asset-Backed Credit Agreement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April 27, 2023 (the “Closing Date”), we entered into an asset-backed credit agreement and revolving line of credit note (the "Note" and, collectively, the “Credit Agreement”) with Wells Fargo Bank, National Association, as lender (the “Bank”). The Credit Agreement provides for an asset-based, senior secured revolving credit facility (as amended, the "Revolving Facility”) of up to $65.0 million (“Revolving Commitment”) consisting of revolving loans, letters of credit and swing line loans, with a sub-limit on letters of credit outstanding at any time of $10.0 million and a sub-limit for swing line loans of $7.5 million, which replaced our previous senior secured credit agreement. The Credit Agreement also includes an uncommitted accordion feature whereby we may increase the Revolving Commitment by an aggregate amount not to exceed $12.5 million, subject to certain conditions. On March 25, 2025, we entered into an amendment of the Credit Agreement which extended the maturity date to June 25, 2027. The payment and performance in full of the secured obligations under the Revolving Facility are secured by a lien on and security interest in all of our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maximum borrowings permitted under the Revolving Facility is equal to the lesser of (x) the Revolving Commitment and (y) the applicable borrowing base, which is equal to (i) 90% of our eligible credit card receivables, plus (ii) 90% of the cost of certain adjusted eligible inventory, less certain inventory reserves, plus (iii) 90% of the cost of certain adjusted eligible in-transit inventory, less certain inventory reserves, less (iv) certain other reserves established by the Bank.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54050"/>
                <wp:effectExtent l="0" t="0" r="0" b="0"/>
                <wp:wrapNone/>
                <wp:docPr id="16" name="Frame1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unused portion of the Revolving Commitment accrues a commitment fee of 0.25% or 0.375% per annum, based on the average daily borrowing capacity under the Revolving Facility under the applicable fiscal quarter. Borrowings under the Revolving Facility bear interest at a rate per annum that ranges from the Secured Overnight Financing Rate (“SOFR”) plus a credit spread adjustment (equal to 10 basis points for one- and three-month term SOFR) plus 1.50% to 2.00%, or a base rate (as calculated in accordance with the Credit Agreement) (the “Base Rate”) plus 0.50% to 1.00%, based on the average daily borrowing capacity under the Revolving Facility over the applicable fiscal quarter. We are allowed to elect to apply either SOFR or Base Rate interest to borrowings at our discretion, other than in the case of swing line loans, to which the Base Rate shall apply.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we are subject to a variety of affirmative and negative covenants customary in an asset-based lending facility, including a financial covenant relating to availability (which is required to remain above the greater of: (i) ten percent (10%) of the Loan Cap (as defined in the Credit Agreement) and (ii) $6.0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Events of default under the Credit Agreement include, among other things, failure to pay principal, interest, fees or other amounts; covenant defaults; material inaccuracy of representations and warranties; bankruptcy events; actual or asserted invalidity of any the Credit Agreement or related loan documents; or a change of control.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entry into the Credit Agreement, we entered into certain ancillary agreements including (i) a security agreement in favor of the Bank, and (ii) a guarantee by us in favor of the Bank.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August 2, 2025, we were in compliance with all of our covenants, were eligible to borrow up to a total of $63.0 million and had no outstanding borrowings under the Credit Agreement. The only utilization of the letters of credit sub-limit under the Credit Agreement was a $2.0 million irrevocable standby letter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 5: Commitments and Contingencies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Indemnifications, Commitments, and Guarantees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normal course of business, we have made certain indemnifications, commitments, and guarantees under which we may be required to make payments for certain transactions. These indemnifications include, but are not limited to, those given to various lessors in connection with facility leases for certain claims arising from such facility or lease and indemnifications to our directors and officers to the maximum extent permitted under the laws of the state of Delaware. The majority of these indemnifications, commitments, and guarantees do not provide for any limitation of the maximum potential future payments we could be obligated to make, and their duration may be indefinite. We have not recorded any liability for these indemnifications, commitments, and guarantees in the accompanying Consolidated Balance Sheets.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lawsuits and other claims arising from our ordinary course of business. We establish loss provisions for matters in which losses are probable and can be reasonably estimated. For some matters, we are currently unable to predict the ultimate outcome, determine whether a liability has been incurred or make an estimate of the reasonably possible liability that could result from an unfavorable outcome because of the uncertainties related to the occurrence, amount and range of loss on any pending litigation or claim. Because of the unpredictable nature of these matters, we cannot provide any assurances regarding the outcome of any litigation or claim to which we are a party or that the ultimate outcome of any of the matters threatened or pending against us will not have a material adverse effect on our financial condition, results of operations or cash flows. As of the date of these consolidated financial statements, we were not engaged in any legal proceedings that are expected, individually or in the aggregate, to have a material adverse effect on our consolidated results of operations or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6: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determine fair value based on a three-level valuation hierarchy as described below. Fair value is defined as the exit price associated with the sale of an asset or transfer of a liability in an orderly transaction between market participants at the measurement date. The three-level hierarchy of inputs used to determine fair value is as follows:</w:t>
      </w:r>
    </w:p>
    <w:p>
      <w:pPr>
        <w:pStyle w:val="TextBody"/>
        <w:bidi w:val="0"/>
        <w:spacing w:lineRule="auto" w:line="288" w:before="120" w:after="120"/>
        <w:jc w:val="left"/>
        <w:rPr/>
      </w:pPr>
      <w:r>
        <w:rPr>
          <w:color w:val="000000"/>
        </w:rPr>
        <w:t>•</w:t>
      </w: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Quoted prices in active markets for identical assets and liabilities.</w:t>
      </w:r>
    </w:p>
    <w:p>
      <w:pPr>
        <w:pStyle w:val="TextBody"/>
        <w:bidi w:val="0"/>
        <w:spacing w:lineRule="auto" w:line="288" w:before="120" w:after="120"/>
        <w:jc w:val="left"/>
        <w:rPr/>
      </w:pPr>
      <w:r>
        <w:rPr>
          <w:color w:val="000000"/>
        </w:rPr>
        <w:t>•</w:t>
      </w: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Inputs other than Level 1 that are observable, either directly or indirectly, such as quoted prices for similar assets and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120" w:after="120"/>
        <w:jc w:val="left"/>
        <w:rPr/>
      </w:pPr>
      <w:r>
        <w:rPr>
          <w:color w:val="000000"/>
        </w:rPr>
        <w:t>•</w:t>
      </w: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Unobservable inputs (i.e. projections, estimates, interpretations, etc.) that are supported by little or no market activity and that are significant to the fair value of the assets or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measure certain financial assets at fair value on a recurring basis, including our marketable securities which are classified as available-for-sale securities, and certain cash equivalents, specifically money market securities, commercial paper, municipal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54050"/>
                <wp:effectExtent l="0" t="0" r="0" b="0"/>
                <wp:wrapNone/>
                <wp:docPr id="17" name="Frame1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bonds and certificates of deposits. The money market accounts are valued based on quoted market prices in active markets. The available-for-sale marketable securities are valued based on other observable inputs for those securities (including market corroborated pricing or other models that utilize observable inputs such as interest rates and yield curves) based on information provided by independent third-party entities.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we measure certain assets at fair value on a non-recurring basis, including evaluation of long-lived assets for impairments using Company-specific assumptions which would fall within Level 3 of the fair-value hierarchy.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Fair value calculations contain significant judgments and estimates, which may differ from actual results due to, among other things, economic conditions, changes to the business model or changes in operating performance.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August 2, 2025, February 1, 2025 and August 3, 2024, we did not have any Level 3 financial assets. We conduct reviews on a quarterly basis to verify pricing, assess liquidity and determine if significant inputs have changed that would impact the fair value hierarchy disclosure.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w:t>
      </w:r>
    </w:p>
    <w:p>
      <w:pPr>
        <w:pStyle w:val="TextBody"/>
        <w:bidi w:val="0"/>
        <w:spacing w:lineRule="auto" w:line="288" w:before="120" w:after="283"/>
        <w:jc w:val="left"/>
        <w:rPr/>
      </w:pPr>
      <w:r>
        <w:rPr>
          <w:rFonts w:ascii="Times New Roman;serif" w:hAnsi="Times New Roman;serif"/>
          <w:b w:val="false"/>
          <w:color w:val="000000"/>
          <w:sz w:val="20"/>
        </w:rPr>
        <w:t xml:space="preserve">In accordance with the provisions of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we categorized our financial assets based on the priority of the inputs to the valuation technique for the instruments as follows (in thousands):</w:t>
      </w:r>
      <w:r>
        <w:rPr>
          <w:color w:val="000000"/>
        </w:rPr>
        <w:t> </w:t>
      </w:r>
    </w:p>
    <w:tbl>
      <w:tblPr>
        <w:tblW w:w="11511" w:type="dxa"/>
        <w:jc w:val="left"/>
        <w:tblInd w:w="0" w:type="dxa"/>
        <w:tblLayout w:type="fixed"/>
        <w:tblCellMar>
          <w:top w:w="28" w:type="dxa"/>
          <w:left w:w="28" w:type="dxa"/>
          <w:bottom w:w="28" w:type="dxa"/>
          <w:right w:w="28" w:type="dxa"/>
        </w:tblCellMar>
      </w:tblPr>
      <w:tblGrid>
        <w:gridCol w:w="551"/>
        <w:gridCol w:w="339"/>
        <w:gridCol w:w="341"/>
        <w:gridCol w:w="211"/>
        <w:gridCol w:w="721"/>
        <w:gridCol w:w="109"/>
        <w:gridCol w:w="109"/>
        <w:gridCol w:w="109"/>
        <w:gridCol w:w="109"/>
        <w:gridCol w:w="211"/>
        <w:gridCol w:w="406"/>
        <w:gridCol w:w="109"/>
        <w:gridCol w:w="109"/>
        <w:gridCol w:w="109"/>
        <w:gridCol w:w="109"/>
        <w:gridCol w:w="213"/>
        <w:gridCol w:w="411"/>
        <w:gridCol w:w="112"/>
        <w:gridCol w:w="109"/>
        <w:gridCol w:w="109"/>
        <w:gridCol w:w="109"/>
        <w:gridCol w:w="226"/>
        <w:gridCol w:w="436"/>
        <w:gridCol w:w="119"/>
        <w:gridCol w:w="109"/>
        <w:gridCol w:w="109"/>
        <w:gridCol w:w="109"/>
        <w:gridCol w:w="211"/>
        <w:gridCol w:w="721"/>
        <w:gridCol w:w="109"/>
        <w:gridCol w:w="109"/>
        <w:gridCol w:w="109"/>
        <w:gridCol w:w="109"/>
        <w:gridCol w:w="213"/>
        <w:gridCol w:w="411"/>
        <w:gridCol w:w="112"/>
        <w:gridCol w:w="109"/>
        <w:gridCol w:w="109"/>
        <w:gridCol w:w="109"/>
        <w:gridCol w:w="226"/>
        <w:gridCol w:w="436"/>
        <w:gridCol w:w="119"/>
        <w:gridCol w:w="109"/>
        <w:gridCol w:w="109"/>
        <w:gridCol w:w="109"/>
        <w:gridCol w:w="211"/>
        <w:gridCol w:w="721"/>
        <w:gridCol w:w="109"/>
        <w:gridCol w:w="109"/>
        <w:gridCol w:w="109"/>
        <w:gridCol w:w="109"/>
        <w:gridCol w:w="213"/>
        <w:gridCol w:w="411"/>
        <w:gridCol w:w="157"/>
      </w:tblGrid>
      <w:tr>
        <w:trPr/>
        <w:tc>
          <w:tcPr>
            <w:tcW w:w="55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 2024</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w:t>
            </w:r>
            <w:r>
              <w:rPr>
                <w:rFonts w:ascii="Times New Roman;serif" w:hAnsi="Times New Roman;serif"/>
                <w:b/>
                <w:color w:val="000000"/>
                <w:sz w:val="20"/>
              </w:rPr>
              <w:t>(1)</w:t>
            </w:r>
            <w:r>
              <w:rPr>
                <w:rFonts w:ascii="Times New Roman;serif" w:hAnsi="Times New Roman;serif"/>
                <w:b w:val="false"/>
                <w:color w:val="000000"/>
                <w:sz w:val="20"/>
              </w:rPr>
              <w: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Money market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 xml:space="preserve">Excludes cash of $3.4 million, $0.4 million and $3.0 million as of August 2, 2025, February 1, 2025 and August 3, 2024, respectively.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On at least a quarterly basis, we assess whether events or changes in circumstances have occurred that potentially indicate that the carrying value of long-lived assets and operating lease right-of-use ("ROU") assets may not be recoverable. Based on Level 3 inputs of historical operating performance, including sales trends, gross margin rates, current cash flows from operations and the projected outlook for each of our stores, we determine if a store would be able to generate sufficient undiscounted cash flows over the remaining term to recover our investment in long-lived and ROU assets. If the undiscounted future cash flows are less than the carrying value, an impairment loss is recognized for the difference between the carrying value and the estimated fair value of assets based on the discounted cash flows of the assets using a rate that approximates the weighted average cost of capital plus a company-specific risk premium. Impairment losses are allocated between the long-lived assets and ROU assets on a relative carrying amount basis. The fair values of ROU assets are estimated by an independent third party and represent the highest and best use to a market participant. We determined that certain stores would not be able to generate sufficient cash flows over the remaining term of the related leases to recover our investment or the ROU in the respective stores. As a result of this assessment, we recorded non-recurring, non-cash impairment charges of $0.1 million and $0.8 million in the thirteen weeks ended August 2, 2025 and August 3, 2024, respectively, to write down the carrying value of certain long-lived store assets and ROU assets to their estimated fair values. We recorded non-recurring, non-cash impairment charges of $1.1 million and $2.5 million in the twenty-six weeks ended August 2, 2025 and August 3, 2024, respectively, to write-down the carrying value of certain long-lived store assets and ROU assets to their estimated fair values.</w:t>
      </w:r>
    </w:p>
    <w:tbl>
      <w:tblPr>
        <w:tblW w:w="8199" w:type="dxa"/>
        <w:jc w:val="left"/>
        <w:tblInd w:w="0" w:type="dxa"/>
        <w:tblLayout w:type="fixed"/>
        <w:tblCellMar>
          <w:top w:w="28" w:type="dxa"/>
          <w:left w:w="28" w:type="dxa"/>
          <w:bottom w:w="28" w:type="dxa"/>
          <w:right w:w="28" w:type="dxa"/>
        </w:tblCellMar>
      </w:tblPr>
      <w:tblGrid>
        <w:gridCol w:w="1245"/>
        <w:gridCol w:w="1091"/>
        <w:gridCol w:w="1098"/>
        <w:gridCol w:w="237"/>
        <w:gridCol w:w="525"/>
        <w:gridCol w:w="122"/>
        <w:gridCol w:w="109"/>
        <w:gridCol w:w="109"/>
        <w:gridCol w:w="109"/>
        <w:gridCol w:w="211"/>
        <w:gridCol w:w="616"/>
        <w:gridCol w:w="109"/>
        <w:gridCol w:w="109"/>
        <w:gridCol w:w="109"/>
        <w:gridCol w:w="109"/>
        <w:gridCol w:w="215"/>
        <w:gridCol w:w="630"/>
        <w:gridCol w:w="111"/>
        <w:gridCol w:w="111"/>
        <w:gridCol w:w="111"/>
        <w:gridCol w:w="111"/>
        <w:gridCol w:w="215"/>
        <w:gridCol w:w="630"/>
        <w:gridCol w:w="157"/>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in thousands)</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assets with impairment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impaired</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stores tested for impairment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stores with impairment</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54050"/>
                <wp:effectExtent l="0" t="0" r="0" b="0"/>
                <wp:wrapNone/>
                <wp:docPr id="18" name="Frame1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Share-Based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Tilly's, Inc. 2012 Third Amended and Restated Equity and Incentive Plan (the "2012 Plan"), authorizes up to 8,613,900 shares for issuance of options, shares or rights to acquire our Class A common stock and allows for, among other things, operating income and comparable store sales growth targets as additional performance goals that may be used in connection with performance-based awards granted under the 2012 Plan. As of August 2, 2025, there were 2,529,228 shares available for future issuance under the 2012 Plan.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grant stock options to certain employees that give them the right to acquire our Class A common stock under the 2012 Plan. The exercise price of options granted is equal to the closing price per share of our stock at the date of grant. The non-qualified options vest at a rate of 25% on each of the first four anniversaries of the grant date provided that the award recipient continues to be employed by us through each of those vesting dates and expire ten years from the date of grant.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twenty-six weeks ended August 2, 2025 (aggregate intrinsic value in thousands):</w:t>
      </w:r>
    </w:p>
    <w:tbl>
      <w:tblPr>
        <w:tblW w:w="8663" w:type="dxa"/>
        <w:jc w:val="left"/>
        <w:tblInd w:w="0" w:type="dxa"/>
        <w:tblLayout w:type="fixed"/>
        <w:tblCellMar>
          <w:top w:w="28" w:type="dxa"/>
          <w:left w:w="28" w:type="dxa"/>
          <w:bottom w:w="28" w:type="dxa"/>
          <w:right w:w="28" w:type="dxa"/>
        </w:tblCellMar>
      </w:tblPr>
      <w:tblGrid>
        <w:gridCol w:w="994"/>
        <w:gridCol w:w="873"/>
        <w:gridCol w:w="877"/>
        <w:gridCol w:w="495"/>
        <w:gridCol w:w="496"/>
        <w:gridCol w:w="256"/>
        <w:gridCol w:w="109"/>
        <w:gridCol w:w="109"/>
        <w:gridCol w:w="109"/>
        <w:gridCol w:w="333"/>
        <w:gridCol w:w="830"/>
        <w:gridCol w:w="173"/>
        <w:gridCol w:w="109"/>
        <w:gridCol w:w="109"/>
        <w:gridCol w:w="109"/>
        <w:gridCol w:w="439"/>
        <w:gridCol w:w="439"/>
        <w:gridCol w:w="441"/>
        <w:gridCol w:w="109"/>
        <w:gridCol w:w="109"/>
        <w:gridCol w:w="109"/>
        <w:gridCol w:w="283"/>
        <w:gridCol w:w="545"/>
        <w:gridCol w:w="208"/>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Date</w:t>
              <w:b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 (1)</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February 1, 2025</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2,100,895 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August 2, 2025</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2,383,145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Exercisable at August 2, 2025</w:t>
            </w:r>
          </w:p>
        </w:tc>
        <w:tc>
          <w:tcPr>
            <w:tcW w:w="99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1,265,270</w:t>
            </w: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color w:val="000000"/>
          <w:sz w:val="16"/>
        </w:rPr>
        <w:t>(1)</w:t>
      </w:r>
      <w:r>
        <w:rPr>
          <w:rFonts w:ascii="Times New Roman;serif" w:hAnsi="Times New Roman;serif"/>
          <w:b w:val="false"/>
          <w:color w:val="000000"/>
          <w:sz w:val="16"/>
        </w:rPr>
        <w:t>Intrinsic value for stock options is defined as the difference between the market price of our Class A common stock on the last business day of the fiscal period and the weighted average exercise price of in-the-money stock options outstanding at the end of the fiscal period. The market value per share was $1.70 at August 2,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stock option awards were measured at fair value on the grant date using the Black-Scholes option valuation model. Key input assumptions used to estimate the fair value of stock options include the exercise price of the award, the expected option term, expected volatility of our stock over the option’s expected term, the risk-free interest rate over the option’s expected term and our expected annual dividend yield, if any. We account for forfeitures as they occur. We issue shares of Class A common stock when stock option awards are exercised.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stock options granted during the thirteen and twenty-six weeks ended August 2, 2025 and August 3, 2024 were estimated on the grant date using the following assumptions:</w:t>
      </w:r>
    </w:p>
    <w:tbl>
      <w:tblPr>
        <w:tblW w:w="9603" w:type="dxa"/>
        <w:jc w:val="left"/>
        <w:tblInd w:w="0" w:type="dxa"/>
        <w:tblLayout w:type="fixed"/>
        <w:tblCellMar>
          <w:top w:w="28" w:type="dxa"/>
          <w:left w:w="28" w:type="dxa"/>
          <w:bottom w:w="28" w:type="dxa"/>
          <w:right w:w="28" w:type="dxa"/>
        </w:tblCellMar>
      </w:tblPr>
      <w:tblGrid>
        <w:gridCol w:w="1741"/>
        <w:gridCol w:w="1532"/>
        <w:gridCol w:w="1542"/>
        <w:gridCol w:w="211"/>
        <w:gridCol w:w="406"/>
        <w:gridCol w:w="271"/>
        <w:gridCol w:w="109"/>
        <w:gridCol w:w="109"/>
        <w:gridCol w:w="109"/>
        <w:gridCol w:w="211"/>
        <w:gridCol w:w="406"/>
        <w:gridCol w:w="271"/>
        <w:gridCol w:w="109"/>
        <w:gridCol w:w="109"/>
        <w:gridCol w:w="109"/>
        <w:gridCol w:w="211"/>
        <w:gridCol w:w="511"/>
        <w:gridCol w:w="271"/>
        <w:gridCol w:w="109"/>
        <w:gridCol w:w="109"/>
        <w:gridCol w:w="109"/>
        <w:gridCol w:w="211"/>
        <w:gridCol w:w="511"/>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grant-date fair value per option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option term </w:t>
            </w:r>
            <w:r>
              <w:rPr>
                <w:rFonts w:ascii="Times New Roman;serif" w:hAnsi="Times New Roman;serif"/>
                <w:b/>
                <w:color w:val="000000"/>
                <w:sz w:val="20"/>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years</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expected volatility factor </w:t>
            </w:r>
            <w:r>
              <w:rPr>
                <w:rFonts w:ascii="Times New Roman;serif" w:hAnsi="Times New Roman;serif"/>
                <w:b/>
                <w:color w:val="000000"/>
                <w:sz w:val="20"/>
              </w:rPr>
              <w:t>(2)</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risk-free interest rate </w:t>
            </w:r>
            <w:r>
              <w:rPr>
                <w:rFonts w:ascii="Times New Roman;serif" w:hAnsi="Times New Roman;serif"/>
                <w:b/>
                <w:color w:val="000000"/>
                <w:sz w:val="20"/>
              </w:rPr>
              <w:t>(3)</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annual dividend yield </w:t>
            </w:r>
            <w:r>
              <w:rPr>
                <w:rFonts w:ascii="Times New Roman;serif" w:hAnsi="Times New Roman;serif"/>
                <w:b/>
                <w:color w:val="000000"/>
                <w:sz w:val="20"/>
              </w:rPr>
              <w:t>(4)</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pPr>
      <w:r>
        <w:rPr>
          <w:rFonts w:ascii="Times New Roman;serif" w:hAnsi="Times New Roman;serif"/>
          <w:b/>
          <w:color w:val="000000"/>
          <w:sz w:val="18"/>
        </w:rPr>
        <w:t>(1)</w:t>
      </w:r>
      <w:r>
        <w:rPr>
          <w:rFonts w:ascii="Times New Roman;serif" w:hAnsi="Times New Roman;serif"/>
          <w:b w:val="false"/>
          <w:color w:val="000000"/>
          <w:sz w:val="18"/>
        </w:rPr>
        <w:t xml:space="preserve">The expected option term of the awards represents the estimated time that options are expected to be outstanding based upon historical option data. </w:t>
      </w:r>
    </w:p>
    <w:p>
      <w:pPr>
        <w:pStyle w:val="TextBody"/>
        <w:bidi w:val="0"/>
        <w:spacing w:lineRule="auto" w:line="288" w:before="0" w:after="0"/>
        <w:ind w:left="0" w:right="0" w:hanging="360"/>
        <w:jc w:val="left"/>
        <w:rPr/>
      </w:pPr>
      <w:r>
        <w:rPr>
          <w:rFonts w:ascii="Times New Roman;serif" w:hAnsi="Times New Roman;serif"/>
          <w:b/>
          <w:color w:val="000000"/>
          <w:sz w:val="18"/>
        </w:rPr>
        <w:t>(2)</w:t>
      </w:r>
      <w:r>
        <w:rPr>
          <w:rFonts w:ascii="Times New Roman;serif" w:hAnsi="Times New Roman;serif"/>
          <w:b w:val="false"/>
          <w:color w:val="000000"/>
          <w:sz w:val="18"/>
        </w:rPr>
        <w:t>Stock volatility for each grant is measured using the historical daily price changes of our common stock over the most recent period equal to the expected option term of the awards.</w:t>
      </w:r>
    </w:p>
    <w:p>
      <w:pPr>
        <w:pStyle w:val="TextBody"/>
        <w:bidi w:val="0"/>
        <w:spacing w:lineRule="auto" w:line="288" w:before="0" w:after="0"/>
        <w:ind w:left="0" w:right="0" w:hanging="360"/>
        <w:jc w:val="left"/>
        <w:rPr/>
      </w:pPr>
      <w:r>
        <w:rPr>
          <w:rFonts w:ascii="Times New Roman;serif" w:hAnsi="Times New Roman;serif"/>
          <w:b/>
          <w:color w:val="000000"/>
          <w:sz w:val="18"/>
        </w:rPr>
        <w:t>(3)</w:t>
      </w:r>
      <w:r>
        <w:rPr>
          <w:rFonts w:ascii="Times New Roman;serif" w:hAnsi="Times New Roman;serif"/>
          <w:b w:val="false"/>
          <w:color w:val="000000"/>
          <w:sz w:val="18"/>
        </w:rPr>
        <w:t>The risk-free interest rate is determined using the rate on treasury securities with the same term as the expected life of the stock option as of the grant date.</w:t>
      </w:r>
    </w:p>
    <w:p>
      <w:pPr>
        <w:pStyle w:val="TextBody"/>
        <w:bidi w:val="0"/>
        <w:spacing w:lineRule="auto" w:line="288" w:before="0" w:after="0"/>
        <w:ind w:left="0" w:right="0" w:hanging="360"/>
        <w:jc w:val="left"/>
        <w:rPr/>
      </w:pPr>
      <w:r>
        <w:rPr>
          <w:rFonts w:ascii="Times New Roman;serif" w:hAnsi="Times New Roman;serif"/>
          <w:b/>
          <w:color w:val="000000"/>
          <w:sz w:val="18"/>
        </w:rPr>
        <w:t>(4)</w:t>
      </w:r>
      <w:r>
        <w:rPr>
          <w:rFonts w:ascii="Times New Roman;serif" w:hAnsi="Times New Roman;serif"/>
          <w:b w:val="false"/>
          <w:color w:val="000000"/>
          <w:sz w:val="18"/>
        </w:rPr>
        <w:t xml:space="preserve">We do not currently have a dividend policy, and we do not currently anticipate paying any cash dividends on our common stock at this time.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awards ("RSAs") represent restricted shares issued upon the date of grant in which the recipient's rights in the stock are restricted until the shares are vested, whereas restricted stock units ("RSUs") represent shares issuable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54050"/>
                <wp:effectExtent l="0" t="0" r="0" b="0"/>
                <wp:wrapNone/>
                <wp:docPr id="19" name="Frame1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upon vesting. Under the 2012 Plan, we grant RSAs to independent members of our Board of Directors and RSUs to certain employees. RSAs granted to Board members vest at a rate of 50% on each of the first two anniversaries of the grant date provided that the respective award recipient continues to serve on our Board of Directors through each of those vesting dates. The RSUs granted to certain employees vest at a rate of 25% on each of the first four anniversaries of the grant date provided that the respective recipient continues to be employed by us through each of those vesting dates. We determine the fair value of restricted stock underlying the RSAs and RSUs based upon the closing price of our Class A common stock on the date of grant.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status of non-vested restricted stock as of August 2, 2025, and the changes since February 1, 2025:</w:t>
      </w:r>
    </w:p>
    <w:tbl>
      <w:tblPr>
        <w:tblW w:w="5314" w:type="dxa"/>
        <w:jc w:val="left"/>
        <w:tblInd w:w="0" w:type="dxa"/>
        <w:tblLayout w:type="fixed"/>
        <w:tblCellMar>
          <w:top w:w="28" w:type="dxa"/>
          <w:left w:w="28" w:type="dxa"/>
          <w:bottom w:w="28" w:type="dxa"/>
          <w:right w:w="28" w:type="dxa"/>
        </w:tblCellMar>
      </w:tblPr>
      <w:tblGrid>
        <w:gridCol w:w="983"/>
        <w:gridCol w:w="863"/>
        <w:gridCol w:w="868"/>
        <w:gridCol w:w="420"/>
        <w:gridCol w:w="421"/>
        <w:gridCol w:w="321"/>
        <w:gridCol w:w="109"/>
        <w:gridCol w:w="109"/>
        <w:gridCol w:w="109"/>
        <w:gridCol w:w="263"/>
        <w:gridCol w:w="655"/>
        <w:gridCol w:w="193"/>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Grant-Date</w:t>
              <w:br/>
              <w:t>Fair Value</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February 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91,719</w:t>
            </w: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August 2,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358,462</w:t>
            </w:r>
            <w:r>
              <w:rPr>
                <w:color w:val="000000"/>
              </w:rPr>
              <w:t>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associated with stock options and restricted stock is recognized on a straight-line basis over the requisite service period. The following table summarizes share-based compensation expense recorded in the Consolidated Statements of Operations (in thousands):</w:t>
      </w:r>
    </w:p>
    <w:tbl>
      <w:tblPr>
        <w:tblW w:w="7749" w:type="dxa"/>
        <w:jc w:val="left"/>
        <w:tblInd w:w="0" w:type="dxa"/>
        <w:tblLayout w:type="fixed"/>
        <w:tblCellMar>
          <w:top w:w="28" w:type="dxa"/>
          <w:left w:w="28" w:type="dxa"/>
          <w:bottom w:w="28" w:type="dxa"/>
          <w:right w:w="28" w:type="dxa"/>
        </w:tblCellMar>
      </w:tblPr>
      <w:tblGrid>
        <w:gridCol w:w="1086"/>
        <w:gridCol w:w="954"/>
        <w:gridCol w:w="959"/>
        <w:gridCol w:w="233"/>
        <w:gridCol w:w="532"/>
        <w:gridCol w:w="120"/>
        <w:gridCol w:w="114"/>
        <w:gridCol w:w="114"/>
        <w:gridCol w:w="114"/>
        <w:gridCol w:w="233"/>
        <w:gridCol w:w="532"/>
        <w:gridCol w:w="120"/>
        <w:gridCol w:w="109"/>
        <w:gridCol w:w="109"/>
        <w:gridCol w:w="109"/>
        <w:gridCol w:w="233"/>
        <w:gridCol w:w="532"/>
        <w:gridCol w:w="119"/>
        <w:gridCol w:w="117"/>
        <w:gridCol w:w="117"/>
        <w:gridCol w:w="117"/>
        <w:gridCol w:w="228"/>
        <w:gridCol w:w="682"/>
        <w:gridCol w:w="166"/>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share-based compensation</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1,167</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August 2, 2025, there was $3.1 million of total unrecognized share-based compensation expense related to unvested stock options and restricted stock. This cost has a weighted average remaining recognition period of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Net Income (Loss) Per Share</w:t>
      </w:r>
    </w:p>
    <w:p>
      <w:pPr>
        <w:pStyle w:val="TextBody"/>
        <w:bidi w:val="0"/>
        <w:spacing w:lineRule="auto" w:line="288" w:before="120" w:after="283"/>
        <w:jc w:val="left"/>
        <w:rPr/>
      </w:pPr>
      <w:r>
        <w:rPr>
          <w:rFonts w:ascii="Times New Roman;serif" w:hAnsi="Times New Roman;serif"/>
          <w:b w:val="false"/>
          <w:color w:val="000000"/>
          <w:sz w:val="20"/>
        </w:rPr>
        <w:t xml:space="preserve">Earnings per share is computed under the provisions of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xml:space="preserve">. Basic earnings per share is computed based on the weighted average number of shares of common stock outstanding during the period. Diluted earnings per share is computed based on the weighted average number of shares of common stock plus the effect of dilutive potential shares of common stock (i.e., in-the-money outstanding stock options as well as RSAs) outstanding during the period using the treasury stock method, whereby proceeds from such exercise, unamortized compensation and hypothetical excess tax benefits, if any, on share-based awards are assumed to be used by us to purchase shares of common stock at the average market price during the period.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basic and diluted net income (loss) per share were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911"/>
        <w:gridCol w:w="1617"/>
        <w:gridCol w:w="1614"/>
        <w:gridCol w:w="211"/>
        <w:gridCol w:w="616"/>
        <w:gridCol w:w="109"/>
        <w:gridCol w:w="109"/>
        <w:gridCol w:w="109"/>
        <w:gridCol w:w="109"/>
        <w:gridCol w:w="211"/>
        <w:gridCol w:w="573"/>
        <w:gridCol w:w="109"/>
        <w:gridCol w:w="109"/>
        <w:gridCol w:w="109"/>
        <w:gridCol w:w="109"/>
        <w:gridCol w:w="211"/>
        <w:gridCol w:w="783"/>
        <w:gridCol w:w="109"/>
        <w:gridCol w:w="109"/>
        <w:gridCol w:w="109"/>
        <w:gridCol w:w="109"/>
        <w:gridCol w:w="211"/>
        <w:gridCol w:w="783"/>
        <w:gridCol w:w="156"/>
      </w:tblGrid>
      <w:tr>
        <w:trPr/>
        <w:tc>
          <w:tcPr>
            <w:tcW w:w="191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5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in-the-money stock options and RSAs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for diluted net income (loss) per share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29,995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of Class A and Class B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of Class A and Class B common stock</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(0.66)</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54050"/>
                <wp:effectExtent l="0" t="0" r="0" b="0"/>
                <wp:wrapNone/>
                <wp:docPr id="20" name="Frame2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stock options and restricted stock have been excluded from the calculation of diluted net income (loss) per share as the effect of including these stock options would have been anti-dilutive (in thousands):</w:t>
      </w:r>
    </w:p>
    <w:tbl>
      <w:tblPr>
        <w:tblW w:w="6953" w:type="dxa"/>
        <w:jc w:val="center"/>
        <w:tblInd w:w="0" w:type="dxa"/>
        <w:tblLayout w:type="fixed"/>
        <w:tblCellMar>
          <w:top w:w="28" w:type="dxa"/>
          <w:left w:w="28" w:type="dxa"/>
          <w:bottom w:w="28" w:type="dxa"/>
          <w:right w:w="28" w:type="dxa"/>
        </w:tblCellMar>
      </w:tblPr>
      <w:tblGrid>
        <w:gridCol w:w="515"/>
        <w:gridCol w:w="453"/>
        <w:gridCol w:w="457"/>
        <w:gridCol w:w="315"/>
        <w:gridCol w:w="316"/>
        <w:gridCol w:w="296"/>
        <w:gridCol w:w="225"/>
        <w:gridCol w:w="225"/>
        <w:gridCol w:w="225"/>
        <w:gridCol w:w="315"/>
        <w:gridCol w:w="316"/>
        <w:gridCol w:w="296"/>
        <w:gridCol w:w="109"/>
        <w:gridCol w:w="109"/>
        <w:gridCol w:w="109"/>
        <w:gridCol w:w="315"/>
        <w:gridCol w:w="316"/>
        <w:gridCol w:w="295"/>
        <w:gridCol w:w="243"/>
        <w:gridCol w:w="243"/>
        <w:gridCol w:w="243"/>
        <w:gridCol w:w="315"/>
        <w:gridCol w:w="316"/>
        <w:gridCol w:w="386"/>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2,414</w:t>
            </w: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2,414</w:t>
            </w:r>
            <w:r>
              <w:rPr>
                <w:color w:val="000000"/>
              </w:rPr>
              <w:t>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9: Segment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Tillys operates in one, consolidated operating and reportable segment, which is as a retailer of casual apparel, footwear, and accessories (the "retail segment"). Our chief operating decision maker ("CODM") for the periods presented is our Co-Founder, Executive Chairman of the Board of Directors, President and Chief Executive Officer. Our CODM reviews financial information on a consolidated basis for the purposes of evaluating financial performance, allocating resources and making operational decisions.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retail segment derives revenues from our stores located in a variety of retail centers in the United States and via our website. We identified one reportable segment based on the similar nature of products sold, production, merchandising and distribution processes involved, target customers, and economic characteristics.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CODM measures performance for the segment primarily based on operating income (loss). The CODM uses operating income (loss) to evaluate operating performance and determine allocation of resources to seek to promote improved performance.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of segment assets is reported as total assets on the Consolidated Balance Sheet. The accounting policies of the retail segment are the same as those described in "Note 2: Summary of Significant Accounting Policies".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 including segment revenue, significant expenses, and operating income (loss) for the thirteen and twenty-six week periods ended August 2, 2025 and August 3, 2024 were as follows (in thousands):</w:t>
      </w:r>
    </w:p>
    <w:tbl>
      <w:tblPr>
        <w:tblW w:w="8584" w:type="dxa"/>
        <w:jc w:val="left"/>
        <w:tblInd w:w="0" w:type="dxa"/>
        <w:tblLayout w:type="fixed"/>
        <w:tblCellMar>
          <w:top w:w="28" w:type="dxa"/>
          <w:left w:w="28" w:type="dxa"/>
          <w:bottom w:w="28" w:type="dxa"/>
          <w:right w:w="28" w:type="dxa"/>
        </w:tblCellMar>
      </w:tblPr>
      <w:tblGrid>
        <w:gridCol w:w="1013"/>
        <w:gridCol w:w="890"/>
        <w:gridCol w:w="902"/>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278,723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Product COGS</w:t>
            </w:r>
            <w:r>
              <w:rPr>
                <w:color w:val="000000"/>
              </w:rPr>
              <w:t xml:space="preserve"> </w:t>
            </w:r>
            <w:r>
              <w:rPr>
                <w:rFonts w:ascii="Times New Roman;serif" w:hAnsi="Times New Roman;serif"/>
                <w:b/>
                <w:color w:val="000000"/>
                <w:sz w:val="20"/>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Occupancy </w:t>
            </w:r>
            <w:r>
              <w:rPr>
                <w:rFonts w:ascii="Times New Roman;serif" w:hAnsi="Times New Roman;serif"/>
                <w:b/>
                <w:color w:val="000000"/>
                <w:sz w:val="20"/>
              </w:rPr>
              <w:t>(2)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COGS </w:t>
            </w:r>
            <w:r>
              <w:rPr>
                <w:rFonts w:ascii="Times New Roman;serif" w:hAnsi="Times New Roman;serif"/>
                <w:b/>
                <w:color w:val="000000"/>
                <w:sz w:val="20"/>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 payroll and related benefits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selling costs </w:t>
            </w:r>
            <w:r>
              <w:rPr>
                <w:rFonts w:ascii="Times New Roman;serif" w:hAnsi="Times New Roman;serif"/>
                <w:b/>
                <w:color w:val="000000"/>
                <w:sz w:val="20"/>
              </w:rPr>
              <w:t>(4)</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Office costs</w:t>
            </w:r>
            <w:r>
              <w:rPr>
                <w:color w:val="000000"/>
              </w:rPr>
              <w:t xml:space="preserve"> </w:t>
            </w:r>
            <w:r>
              <w:rPr>
                <w:rFonts w:ascii="Times New Roman;serif" w:hAnsi="Times New Roman;serif"/>
                <w:b/>
                <w:color w:val="000000"/>
                <w:sz w:val="20"/>
              </w:rPr>
              <w:t>(5)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Product COGS consists of branded and private label merchandise costs, including design, sourcing, and inbound freight costs.</w:t>
      </w:r>
    </w:p>
    <w:p>
      <w:pPr>
        <w:pStyle w:val="TextBody"/>
        <w:bidi w:val="0"/>
        <w:spacing w:lineRule="auto" w:line="288" w:before="0" w:after="0"/>
        <w:jc w:val="left"/>
        <w:rPr/>
      </w:pPr>
      <w:r>
        <w:rPr>
          <w:rFonts w:ascii="Times New Roman;serif" w:hAnsi="Times New Roman;serif"/>
          <w:b/>
          <w:color w:val="000000"/>
          <w:sz w:val="16"/>
        </w:rPr>
        <w:t xml:space="preserve">(2) </w:t>
      </w:r>
      <w:r>
        <w:rPr>
          <w:rFonts w:ascii="Times New Roman;serif" w:hAnsi="Times New Roman;serif"/>
          <w:b w:val="false"/>
          <w:color w:val="000000"/>
          <w:sz w:val="16"/>
        </w:rPr>
        <w:t>Occupancy consists of store operating lease charges and depreciation.</w:t>
      </w:r>
    </w:p>
    <w:p>
      <w:pPr>
        <w:pStyle w:val="TextBody"/>
        <w:bidi w:val="0"/>
        <w:spacing w:lineRule="auto" w:line="288" w:before="0" w:after="0"/>
        <w:jc w:val="left"/>
        <w:rPr/>
      </w:pPr>
      <w:r>
        <w:rPr>
          <w:rFonts w:ascii="Times New Roman;serif" w:hAnsi="Times New Roman;serif"/>
          <w:b/>
          <w:color w:val="000000"/>
          <w:sz w:val="16"/>
        </w:rPr>
        <w:t>(3)</w:t>
      </w:r>
      <w:r>
        <w:rPr>
          <w:color w:val="000000"/>
        </w:rPr>
        <w:t xml:space="preserve"> </w:t>
      </w:r>
      <w:r>
        <w:rPr>
          <w:rFonts w:ascii="Times New Roman;serif" w:hAnsi="Times New Roman;serif"/>
          <w:b w:val="false"/>
          <w:color w:val="000000"/>
          <w:sz w:val="16"/>
        </w:rPr>
        <w:t>Other COGS consists of buying, and distribution costs, including but not limited to outbound shipping costs, buying and distribution payroll and related benefits, depreciation, and temporary labor.</w:t>
      </w:r>
    </w:p>
    <w:p>
      <w:pPr>
        <w:pStyle w:val="TextBody"/>
        <w:bidi w:val="0"/>
        <w:spacing w:lineRule="auto" w:line="288" w:before="0" w:after="0"/>
        <w:jc w:val="left"/>
        <w:rPr/>
      </w:pPr>
      <w:r>
        <w:rPr>
          <w:rFonts w:ascii="Times New Roman;serif" w:hAnsi="Times New Roman;serif"/>
          <w:b/>
          <w:color w:val="000000"/>
          <w:sz w:val="16"/>
        </w:rPr>
        <w:t>(4)</w:t>
      </w:r>
      <w:r>
        <w:rPr>
          <w:color w:val="000000"/>
        </w:rPr>
        <w:t xml:space="preserve"> </w:t>
      </w:r>
      <w:r>
        <w:rPr>
          <w:rFonts w:ascii="Times New Roman;serif" w:hAnsi="Times New Roman;serif"/>
          <w:b w:val="false"/>
          <w:color w:val="000000"/>
          <w:sz w:val="16"/>
        </w:rPr>
        <w:t>Other selling costs consists primarily of e-com fulfillment labor, credit card processing fees, store supplies and equipment, and other store services.</w:t>
      </w:r>
    </w:p>
    <w:p>
      <w:pPr>
        <w:pStyle w:val="TextBody"/>
        <w:bidi w:val="0"/>
        <w:spacing w:lineRule="auto" w:line="288" w:before="0" w:after="0"/>
        <w:jc w:val="left"/>
        <w:rPr/>
      </w:pPr>
      <w:r>
        <w:rPr>
          <w:rFonts w:ascii="Times New Roman;serif" w:hAnsi="Times New Roman;serif"/>
          <w:b/>
          <w:color w:val="000000"/>
          <w:sz w:val="16"/>
        </w:rPr>
        <w:t>(5)</w:t>
      </w:r>
      <w:r>
        <w:rPr>
          <w:color w:val="000000"/>
        </w:rPr>
        <w:t xml:space="preserve"> </w:t>
      </w:r>
      <w:r>
        <w:rPr>
          <w:rFonts w:ascii="Times New Roman;serif" w:hAnsi="Times New Roman;serif"/>
          <w:b w:val="false"/>
          <w:color w:val="000000"/>
          <w:sz w:val="16"/>
        </w:rPr>
        <w:t>Office costs consists primarily of corporate office payroll and related benefits, computer services, non-cash asset impairment charges, consulting and professional services, and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54050"/>
                <wp:effectExtent l="0" t="0" r="0" b="0"/>
                <wp:wrapNone/>
                <wp:docPr id="21" name="Frame2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our operations should be read together with the financial statements and related notes of Tilly’s, Inc. included in Part I Item 1 of this Quarterly Report on Form 10-Q (this "Report") and with our audited consolidated financial statements and the related notes included in our Annual Report on Form 10-K for the fiscal year ended February 1, 2025. As used in this Report, except where the context otherwise requires or where otherwise indicated, the terms “the Company”, “World of Jeans &amp; Tops”, “we”, “our”, “us”, "Tillys" and “Tilly’s” refer to Tilly’s, Inc. and its subsidiary.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Tillys is a destination specialty retailer of casual apparel, footwear, and accessories for young men, young women, boys and girls. We believe we bring together an unparalleled selection of iconic global, emerging, and proprietary brands rooted in an active, outdoor and social lifestyle. The Tillys concept began in 1982, when our co-founders, Hezy Shaked and Tilly Levine, opened our first store in Orange County, California. As of August 2, 2025, we operated 232 stores in 33 states, averaging approximately 7,143 square feet per store, compared to 247 total stores at the same time last year. We also sell our products through our e-commerce ("e-com") website, www.tillys.com.</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Known or Anticipated Trends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the combined impacts of persistent inflation, enacted and potential tariffs, and concerns about a potential economic recession in the current economic environment could negatively impact consumer spending generally and our customer base, in particular, which has had and may in the future have a significant, adverse impact on our operating results and financial condition.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Inflation has resulted in increased costs for many products and services that are necessary for the operation of our business, such as product costs, labor costs, shipping costs, and digital marketing costs, among others. For example, store payroll and payroll-related expenses represented approximately 47% of our total selling, general and administrative expense in the first half of fiscal 2025. Our average hourly rate for store payroll in fiscal 2025 is estimated to be approximately 36% higher than in pre-pandemic fiscal 2019 and approximately 3% higher than in fiscal 2024. These and other cost increases may continue to have a material adverse impact on our results of operations and financial condition in fiscal 2025, particularly if we are unable to generate net sales growth.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We expect our effective income tax rate to be near zero on an annual basis until such time that we are able to return to generating operating profits on a consistent basis, due to maintaining a full valuation allowance on all deferred tax assets as a result of our recent operating losses.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currently expect to close 16 stores during fiscal 2025, 11 of which have already closed through August 2025, three additional closures are expected to occur in the third quarter, and two are expected to occur in the fourth quarter. The number of store closures during fiscal 2025 may increase to some extent by the end of the fiscal year depending on the outcome of lease renewal negotiations with landlords.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How We Assess the Performance of Our Business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assessing the performance of our business, we consider a variety of performance and financial measures. The key indicators of the financial condition and operating performance of our business are net sales, comparable store sales, gross profit, selling, general and administrative ("SG&amp;A") expenses and operating income (loss).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sales reflect revenue from the sale of our merchandise at store locations and through e-com, net of sales taxes. Store net sales are reflected in sales when the merchandise is received by the customer. For e-com net sales, we recognize revenue, and the related cost of goods sold at the time the merchandise is shipped to the customer. Net sales also include shipping and handling fees for e-com shipments that have been shipped to the customer. Net sales are net of returns on sales during the period as well as an estimate of returns expected in the future stemming from current period sales. We recognize revenue from gift cards as they are redeemed for merchandise. Prior to redemption, we maintain a current liability for unredeemed gift card balances. Our gift cards do not have expiration dates and in most cases there is no legal obligation to remit unredeemed gift cards to relevant jurisdictions. Based on actual historical redemption patterns, we determined that a small percentage of gift cards are unlikely to be redeemed (which we refer to as gift card “breakage”). Based on our historical gift card breakage rate, we recognize breakage revenue over the redemption period in proportion to actual gift card redemptions.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is seasonal and as a result our revenues fluctuate from quarter to quarter. In addition, our revenues in any given quarter can be affected by a number of factors including the timing of holidays and weather patterns. The third and fourth quarters of the fiscal year, which include the back-to-school and holiday sales seasons, have historically produced stronger sales and disproportionately stronger operating results than have the first two quarters of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54050"/>
                <wp:effectExtent l="0" t="0" r="0" b="0"/>
                <wp:wrapNone/>
                <wp:docPr id="22" name="Frame2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Comparable Store 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Comparable store net sales is a measure that indicates the change in year-over-year comparable store net sales, which allows us to evaluate how our store base is performing. Numerous factors affect our comparable store net sales,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overall economic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traffic to our stores and online platform;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identify and respond effectively to consumer preferences and fashion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our releases of new and seasonal styles;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product mix;</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customer service that we provide in stores;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source, distribute and allocate products efficiently;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calendar shifts of holiday or seasonal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number and timing of store openings and the relative proportion of new stores to mature stores;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timing and success of promotional and advertising efforts.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comparable store net sales are defined as net sales from our physical stores open on a daily basis combined with net sales from our e-com website compared to the same respective fiscal dates of the prior year. A remodeled, relocated or refreshed store is included in comparable store net sales, both during and after construction, if the square footage of the store used to sell merchandise was not changed by more than 20% in any fiscal month. We include net sales from our e-com website as part of comparable store net sales as we manage and analyze our business on a single omni-channel basis and have substantially integrated our investments and operations for our stores and e-com website to give our customers seamless access and increased ease of shopping. Comparable store net sales exclude gift card breakage income and e-com shipping and handling fee revenue. Some of our competitors and other retailers may calculate comparable or “same store” net sales differently than we do. As a result, data in this Report regarding our comparable store net sales may not be comparable to similar data made available by other retailers.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Gross profit is equal to our net sales less our cost of goods sold. Cost of goods sold reflects the direct cost of purchased merchandise as well as buying, distribution and occupancy costs. Buying costs include compensation and benefit expense for our internal buying organization. Distribution costs include costs for receiving, processing and warehousing our store merchandise, and shipping of merchandise to or from our distribution and e-com fulfillment centers, and to our e-com customers and between store locations. Occupancy costs include the rent, common area maintenance, utilities, property taxes, security and depreciation costs of all store locations. These costs are significant and can be expected to continue to increase relative to business growth. The components of our reported cost of goods sold may not be comparable to those of other retail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regularly analyze the components of gross profit as well as gross profit as a percentage of net sales. Specifically we look at the initial markup on purchases, markdowns and reserves, shrinkage, buying costs, distribution costs and occupancy costs. Any inability to obtain acceptable levels of initial markups, a significant increase in our use of markdowns or a significant increase in inventory shrinkage or inability to generate sufficient sales leverage on the buying, distribution and occupancy components of cost of goods sold could have an adverse impact on our gross profit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Gross profit is also impacted by shifts in the proportion of sales of proprietary branded products compared to third-party branded products, as well as by sales mix shifts within and between brands and between major product departments such as young men's and women's apparel, footwear or accessories. A substantial shift in the mix of products could have a material impact on our results of operations. In addition, gross profit and gross profit as a percent of sales have historically been higher in the third and fourth quarters of the fiscal year, as these periods include the back-to-school and winter holiday selling seasons. This reflects that various costs, including occupancy costs, generally do not increase in proportion to the seasonal sales increase.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selling, general and administrative ("SG&amp;A") expenses are comprised of store selling expenses and corporate-level general and administrative expenses. Store selling expenses include store and regional support costs, including personnel, advertising and debit and credit card processing costs, e-com receiving and processing costs and store supplies costs. General and administrative expenses include the payroll and support costs of corporate functions such as executive management, legal, accounting, information systems, human resources, impairment charges and other centralized services. Store selling expenses generally vary proportionately with net sales and store growth. In contrast, general and administrative expenses are generally not directly proportional to net sales and store growth but may be expected to increase over time to support the needs of our company. SG&amp;A expenses as a percentage of net sales are usually higher in lower volume periods and lower in higher volume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54050"/>
                <wp:effectExtent l="0" t="0" r="0" b="0"/>
                <wp:wrapNone/>
                <wp:docPr id="23" name="Frame2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periods.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equals gross profit less SG&amp;A expenses. Operating income (loss) excludes interest income, interest expense and income taxes. Operating income (loss) percentage measures operating income (loss) as a percentage of our net sales.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key components of our unaudited results of operations for the periods indicated, both in dollars (in thousands) and as a percentage of our net sales:</w:t>
      </w:r>
    </w:p>
    <w:tbl>
      <w:tblPr>
        <w:tblW w:w="10205" w:type="dxa"/>
        <w:jc w:val="left"/>
        <w:tblInd w:w="0" w:type="dxa"/>
        <w:tblLayout w:type="fixed"/>
        <w:tblCellMar>
          <w:top w:w="28" w:type="dxa"/>
          <w:left w:w="28" w:type="dxa"/>
          <w:bottom w:w="28" w:type="dxa"/>
          <w:right w:w="28" w:type="dxa"/>
        </w:tblCellMar>
      </w:tblPr>
      <w:tblGrid>
        <w:gridCol w:w="1401"/>
        <w:gridCol w:w="1179"/>
        <w:gridCol w:w="1185"/>
        <w:gridCol w:w="211"/>
        <w:gridCol w:w="841"/>
        <w:gridCol w:w="301"/>
        <w:gridCol w:w="109"/>
        <w:gridCol w:w="109"/>
        <w:gridCol w:w="109"/>
        <w:gridCol w:w="211"/>
        <w:gridCol w:w="841"/>
        <w:gridCol w:w="301"/>
        <w:gridCol w:w="109"/>
        <w:gridCol w:w="109"/>
        <w:gridCol w:w="109"/>
        <w:gridCol w:w="211"/>
        <w:gridCol w:w="841"/>
        <w:gridCol w:w="301"/>
        <w:gridCol w:w="109"/>
        <w:gridCol w:w="109"/>
        <w:gridCol w:w="109"/>
        <w:gridCol w:w="211"/>
        <w:gridCol w:w="841"/>
        <w:gridCol w:w="348"/>
      </w:tblGrid>
      <w:tr>
        <w:trPr/>
        <w:tc>
          <w:tcPr>
            <w:tcW w:w="14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Statements of Operations Data:</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151,256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162,867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258,867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278,723</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202,625 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goods sold</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102,154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112,947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188,480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204,490</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49,102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49,920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70,387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74,233</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46,424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50,779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90,398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95,880</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(859)</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(20,011)</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(21,647)</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(19,167)</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(19,707)</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(19,690)</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Percentage of Net Sales: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goods sold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73.4</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54050"/>
                <wp:effectExtent l="0" t="0" r="0" b="0"/>
                <wp:wrapNone/>
                <wp:docPr id="24" name="Frame2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store operating data for the periods indicated:</w:t>
      </w:r>
    </w:p>
    <w:tbl>
      <w:tblPr>
        <w:tblW w:w="9903" w:type="dxa"/>
        <w:jc w:val="left"/>
        <w:tblInd w:w="0" w:type="dxa"/>
        <w:tblLayout w:type="fixed"/>
        <w:tblCellMar>
          <w:top w:w="28" w:type="dxa"/>
          <w:left w:w="28" w:type="dxa"/>
          <w:bottom w:w="28" w:type="dxa"/>
          <w:right w:w="28" w:type="dxa"/>
        </w:tblCellMar>
      </w:tblPr>
      <w:tblGrid>
        <w:gridCol w:w="1472"/>
        <w:gridCol w:w="1292"/>
        <w:gridCol w:w="1301"/>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Data:</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operating at end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Comparable store net sales change</w:t>
            </w:r>
            <w:r>
              <w:rPr>
                <w:color w:val="000000"/>
              </w:rPr>
              <w:t xml:space="preserve"> </w:t>
            </w:r>
            <w:r>
              <w:rPr>
                <w:rFonts w:ascii="Times New Roman;serif" w:hAnsi="Times New Roman;serif"/>
                <w:b/>
                <w:color w:val="000000"/>
                <w:sz w:val="2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square feet at end of period (in '000s)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sales per physical store (in '000s) </w:t>
            </w:r>
            <w:r>
              <w:rPr>
                <w:rFonts w:ascii="Times New Roman;serif" w:hAnsi="Times New Roman;serif"/>
                <w:b/>
                <w:color w:val="000000"/>
                <w:sz w:val="20"/>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sales per square foot </w:t>
            </w:r>
            <w:r>
              <w:rPr>
                <w:rFonts w:ascii="Times New Roman;serif" w:hAnsi="Times New Roman;serif"/>
                <w:b/>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E-com net sales (in '000s) </w:t>
            </w:r>
            <w:r>
              <w:rPr>
                <w:rFonts w:ascii="Times New Roman;serif" w:hAnsi="Times New Roman;serif"/>
                <w:b/>
                <w:color w:val="000000"/>
                <w:sz w:val="20"/>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E-com net sales as a 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pPr>
      <w:r>
        <w:rPr>
          <w:rFonts w:ascii="Times New Roman;serif" w:hAnsi="Times New Roman;serif"/>
          <w:b/>
          <w:color w:val="000000"/>
          <w:sz w:val="16"/>
        </w:rPr>
        <w:t>(1)</w:t>
      </w:r>
      <w:r>
        <w:rPr>
          <w:rFonts w:ascii="Times New Roman;serif" w:hAnsi="Times New Roman;serif"/>
          <w:b w:val="false"/>
          <w:color w:val="000000"/>
          <w:sz w:val="16"/>
        </w:rPr>
        <w:t>Our comparable store net sales are defined as sales from our physical stores open on a daily basis combined with net sales from our e-com website compared to the same respective fiscal dates of the prior year. A remodeled or relocated store is included in comparable store net sales, both during and after construction, if the square footage of the store used to sell merchandise was not changed by more than 20% in any fiscal month. We include sales from our e-com website as part of our comparable store net sales as we manage and analyze our business on an omni-channel basis and have substantially integrated our investments and operations for our stores and e-com website to give our customers seamless access and increased ease of shopping. Comparable store net sales exclude gift card breakage income, and e-com shipping and handling fee revenue.</w:t>
      </w:r>
    </w:p>
    <w:p>
      <w:pPr>
        <w:pStyle w:val="TextBody"/>
        <w:bidi w:val="0"/>
        <w:spacing w:lineRule="auto" w:line="288" w:before="0" w:after="0"/>
        <w:ind w:left="0" w:right="0" w:hanging="360"/>
        <w:jc w:val="left"/>
        <w:rPr/>
      </w:pPr>
      <w:r>
        <w:rPr>
          <w:rFonts w:ascii="Times New Roman;serif" w:hAnsi="Times New Roman;serif"/>
          <w:b/>
          <w:color w:val="000000"/>
          <w:sz w:val="16"/>
        </w:rPr>
        <w:t>(2)</w:t>
      </w:r>
      <w:r>
        <w:rPr>
          <w:rFonts w:ascii="Times New Roman;serif" w:hAnsi="Times New Roman;serif"/>
          <w:b w:val="false"/>
          <w:color w:val="000000"/>
          <w:sz w:val="16"/>
        </w:rPr>
        <w:t>The number of stores and the amount of square footage reflect the number of days during the period that stores were open. E-com net sales, e-com shipping and handling fee revenue and gift card breakage income are excluded from net sales in deriving average net sales per retail store and average net sales per square foot.</w:t>
      </w:r>
    </w:p>
    <w:p>
      <w:pPr>
        <w:pStyle w:val="TextBody"/>
        <w:bidi w:val="0"/>
        <w:spacing w:lineRule="auto" w:line="288" w:before="0" w:after="0"/>
        <w:ind w:left="0" w:right="0" w:hanging="360"/>
        <w:jc w:val="left"/>
        <w:rPr/>
      </w:pPr>
      <w:r>
        <w:rPr>
          <w:rFonts w:ascii="Times New Roman;serif" w:hAnsi="Times New Roman;serif"/>
          <w:b/>
          <w:color w:val="000000"/>
          <w:sz w:val="16"/>
        </w:rPr>
        <w:t>(3)</w:t>
      </w:r>
      <w:r>
        <w:rPr>
          <w:rFonts w:ascii="Times New Roman;serif" w:hAnsi="Times New Roman;serif"/>
          <w:b w:val="false"/>
          <w:color w:val="000000"/>
          <w:sz w:val="16"/>
        </w:rPr>
        <w:t>E-com net sales include e-com net sales and e-com shipping and handling fee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Second Quarter (13 Weeks) Ended August 2, 2025 Compared to Second Quarter (13 Weeks) Ended August 3, 2024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net sales were $151.3 million, a decrease of 7.1%. Total comparable net sales, including both physical stores and e-com, decreased by 4.5% relative to the comparable 13-week period ended August 3, 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Net sales from physical stores were $122.7 million, a decrease of 7.3%. We ended the second quarter with 232 total stores, a decrease of 15 stores or 6.1%, compared to 247 total stores at the end of the second quarter last year. Comparable store net sales decreased 4.1% relative to the comparable 13-week period ended August 3, 2024. Net sales from physical stores represented 81.1% of total net sales this year compared to 81.3% total net sales last year.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sales from e-com were $28.5 million, a decrease of 6.6%. E-com net sales decreased 6.2% relative to the comparable 13-week period ended August 3, 2024. E-com net sales represented 18.9% of total net sales this year compared to 18.7% of total net sales last year.</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profit was $49.1 million, or 32.5% of net sales, compared to $49.9 million, or 30.7% of net sales, last year. Product margins improved by 210 basis points primarily due to the combination of higher initial markups and lower markdowns as a result of operating with reduced, more current inventory. Buying, distribution, and occupancy costs deleveraged by 30 basis points collectively, despite being $2.4 million lower than last year, primarily due to carrying these costs against a lower level of net sales this year. Occupancy costs decreased by $1.7 million, primarily due to operating 15 fewer net stores compared to last year. Distribution costs decreased by $0.6 million due primarily to reduced temporary labor expenses.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SG&amp;A expenses were $46.4 million, or 30.7% of net sales, compared to $50.8 million, or 31.2% of net sales, last year. Primary SG&amp;A variances, both in terms of percentage of net sales and total dollars, were as follows:</w:t>
      </w:r>
    </w:p>
    <w:tbl>
      <w:tblPr>
        <w:tblW w:w="7482" w:type="dxa"/>
        <w:jc w:val="left"/>
        <w:tblInd w:w="0" w:type="dxa"/>
        <w:tblLayout w:type="fixed"/>
        <w:tblCellMar>
          <w:top w:w="28" w:type="dxa"/>
          <w:left w:w="28" w:type="dxa"/>
          <w:bottom w:w="28" w:type="dxa"/>
          <w:right w:w="28" w:type="dxa"/>
        </w:tblCellMar>
      </w:tblPr>
      <w:tblGrid>
        <w:gridCol w:w="250"/>
        <w:gridCol w:w="218"/>
        <w:gridCol w:w="221"/>
        <w:gridCol w:w="109"/>
        <w:gridCol w:w="109"/>
        <w:gridCol w:w="109"/>
        <w:gridCol w:w="315"/>
        <w:gridCol w:w="315"/>
        <w:gridCol w:w="316"/>
        <w:gridCol w:w="1615"/>
        <w:gridCol w:w="1615"/>
        <w:gridCol w:w="2290"/>
      </w:tblGrid>
      <w:tr>
        <w:trPr/>
        <w:tc>
          <w:tcPr>
            <w:tcW w:w="2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millions</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Primarily Attributable to</w:t>
            </w:r>
          </w:p>
        </w:tc>
      </w:tr>
      <w:tr>
        <w:trPr/>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5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store payroll and related benefits.</w:t>
            </w:r>
          </w:p>
        </w:tc>
      </w:tr>
      <w:tr>
        <w:trPr/>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non-cash impairment and other asset write-off charges.</w:t>
            </w:r>
          </w:p>
        </w:tc>
      </w:tr>
      <w:tr>
        <w:trPr/>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e-com fulfillment temporary labor expenses.</w:t>
            </w:r>
          </w:p>
        </w:tc>
      </w:tr>
      <w:tr>
        <w:trPr/>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corporate payroll and related benefits.</w:t>
            </w:r>
          </w:p>
        </w:tc>
      </w:tr>
      <w:tr>
        <w:trPr/>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from all other SG&amp;A expenses.</w:t>
            </w:r>
          </w:p>
        </w:tc>
      </w:tr>
      <w:tr>
        <w:trPr/>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5520" w:type="dxa"/>
            <w:gridSpan w:val="3"/>
            <w:tcBorders/>
            <w:vAlign w:val="center"/>
          </w:tcPr>
          <w:p>
            <w:pPr>
              <w:pStyle w:val="TableContents"/>
              <w:bidi w:val="0"/>
              <w:spacing w:before="0" w:after="283"/>
              <w:jc w:val="left"/>
              <w:rPr>
                <w:sz w:val="4"/>
                <w:szCs w:val="4"/>
              </w:rPr>
            </w:pPr>
            <w:r>
              <w:rPr>
                <w:sz w:val="4"/>
                <w:szCs w:val="4"/>
              </w:rPr>
            </w:r>
          </w:p>
        </w:tc>
      </w:tr>
      <w:tr>
        <w:trPr/>
        <w:tc>
          <w:tcPr>
            <w:tcW w:w="6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w:t>
            </w:r>
          </w:p>
        </w:tc>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54050"/>
                <wp:effectExtent l="0" t="0" r="0" b="0"/>
                <wp:wrapNone/>
                <wp:docPr id="25" name="Frame2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was $2.7 million, or 1.8% of net sales, compared to operating loss of $0.9 million, or 0.5% of net sales, last year primarily as a result of the combination of the factors noted above.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Income Tax Benefit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was $41 thousand, or (1.3)% of pre-tax income, compared to income tax benefit of $4 thousand, or 6.2% of pre-tax loss, last year. Both years' income tax results include the continuing impact of a full, non-cash deferred tax asset valuation allowance. This year's income tax benefit includes the refund of certain income tax credit carryforwards and state income tax carryback claims.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Income (Loss) and Income (Loss)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income was $3.2 million, or $0.10 per diluted share, compared to net loss of $0.1 million, or $0.00 per share, last year.</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 xml:space="preserve">First Half (26 Weeks) Ended August 2, 2025 Compared to First Half (26 Weeks) Ended August 3, 2024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net sales were $258.9 million, a decrease of 7.1%. Total comparable net sales, including both physical stores and e-com, decreased by 5.5% relative to the comparable 26-week period ended August 3, 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sales from physical stores were $208.6 million, a decrease of 7.3%. Comparable store net sales decreased 5.3% relative to the comparable 26-week period ended August 3, 2024. Net sales from physical stores represented 80.6% of total net sales this year compared to 80.8% total net sales last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sales from e-com were $50.2 million, a decrease of 6.3%. E-com net sales decreased 6.4% relative to the comparable 26-week period ended August 3, 2024. E-com net sales represented 19.4% of total net sales this year compared to 19.2% of total net sales last year.</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$70.4 million, or 27.2% of net sales, compared to $74.2 million, or 26.6% of net sales, last year. Product margins improved by 140 basis points primarily due to higher initial markups and lower markdowns as a result of operating with reduced, more current inventory. Buying, distribution, and occupancy costs deleveraged by 80 basis points collectively, despite being $3.2 million lower than last year, due to carrying these costs against a lower level of net sales this year. Occupancy costs decreased by $2.7 million, primarily due to operating 15 fewer net stores compared to last year.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SG&amp;A expenses were $90.4 million, or 34.9% of net sales, compared to $95.9 million, or 34.4% of net sales, last year. Primary SG&amp;A variances, both in terms of percentage of net sales and total dollars, were as follows:</w:t>
      </w:r>
    </w:p>
    <w:tbl>
      <w:tblPr>
        <w:tblW w:w="7452" w:type="dxa"/>
        <w:jc w:val="left"/>
        <w:tblInd w:w="0" w:type="dxa"/>
        <w:tblLayout w:type="fixed"/>
        <w:tblCellMar>
          <w:top w:w="28" w:type="dxa"/>
          <w:left w:w="28" w:type="dxa"/>
          <w:bottom w:w="28" w:type="dxa"/>
          <w:right w:w="28" w:type="dxa"/>
        </w:tblCellMar>
      </w:tblPr>
      <w:tblGrid>
        <w:gridCol w:w="238"/>
        <w:gridCol w:w="209"/>
        <w:gridCol w:w="212"/>
        <w:gridCol w:w="109"/>
        <w:gridCol w:w="109"/>
        <w:gridCol w:w="109"/>
        <w:gridCol w:w="315"/>
        <w:gridCol w:w="315"/>
        <w:gridCol w:w="316"/>
        <w:gridCol w:w="1615"/>
        <w:gridCol w:w="1615"/>
        <w:gridCol w:w="2290"/>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millions</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Primarily Attributable to</w:t>
            </w:r>
          </w:p>
        </w:tc>
      </w:tr>
      <w:tr>
        <w:trPr/>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5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store payroll and related benefits.</w:t>
            </w:r>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non-cash impairment and other asset write-off charges.</w:t>
            </w:r>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corporate payroll and related benefits.</w:t>
            </w:r>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e-com fulfillment temporary labor expenses.</w:t>
            </w:r>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from all other SG&amp;A expenses.</w:t>
            </w:r>
          </w:p>
        </w:tc>
      </w:tr>
      <w:tr>
        <w:trPr/>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5520" w:type="dxa"/>
            <w:gridSpan w:val="3"/>
            <w:tcBorders/>
            <w:vAlign w:val="center"/>
          </w:tcPr>
          <w:p>
            <w:pPr>
              <w:pStyle w:val="TableContents"/>
              <w:bidi w:val="0"/>
              <w:spacing w:before="0" w:after="283"/>
              <w:jc w:val="left"/>
              <w:rPr>
                <w:sz w:val="4"/>
                <w:szCs w:val="4"/>
              </w:rPr>
            </w:pPr>
            <w:r>
              <w:rPr>
                <w:sz w:val="4"/>
                <w:szCs w:val="4"/>
              </w:rPr>
            </w:r>
          </w:p>
        </w:tc>
      </w:tr>
      <w:tr>
        <w:trPr/>
        <w:tc>
          <w:tcPr>
            <w:tcW w:w="6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w:t>
            </w:r>
          </w:p>
        </w:tc>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loss was $20.0 million, or 7.7% of net sales, compared to $21.6 million, or 7.8% of net sales, last year primarily as a result of the combination of the factors noted above.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Income Tax Benefit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Income tax benefit was $0.2 million, or 0.9% of pre-tax loss, compared to $17 thousand, or 0.1% of pre-tax loss, last year. Both years' income tax results include the continuing impact of a full, non-cash deferred tax asset valuation allowance. This year's income tax benefit also includes the refund of certain income tax credit carryforwards and state income tax carryback claims.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Loss and Loss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loss was $19.0 million, or $0.63 net loss per share, compared to $19.7 million, or $0.66 net loss per share, last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54050"/>
                <wp:effectExtent l="0" t="0" r="0" b="0"/>
                <wp:wrapNone/>
                <wp:docPr id="26" name="Frame2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typically relies on cash flows from operating activities as well as cash on hand, cash equivalents and marketable securities as our primary sources of liquidity. We currently expect to finance our operations and all planned capital expenditures with existing cash on hand, cash flows from operations and, if necessary, available borrowing capacity under our asset-backed credit facility. We do not anticipate needing to borrow under our credit facility at any time during fiscal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to cash and cash equivalents and marketable securities, the most significant components of our working capital are merchandise inventories, accounts payable and accrued expenses. We believe that cash flows from operating activities, our cash and marketable securities on hand, and credit facility availability will be sufficient to cover our working capital requirements and anticipated capital expenditures for the next 12 months from the filing of this Report. If cash flows from operations are not sufficient or available to meet our capital requirements, then we will be required to obtain additional equity or debt financing in the future. There can be no assurance that equity or debt financing will be available to us when we need it or, if available, that the terms will be satisfactory to us and not dilutive to our stockholders.</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Working Capital</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Working capital at August 2, 2025, was $17.9 million compared to $31.6 million at February 1, 2025, a decrease of $13.7 million. The primary changes in our working capital during the first half of fiscal 2025 were as follows:</w:t>
      </w:r>
    </w:p>
    <w:tbl>
      <w:tblPr>
        <w:tblW w:w="8416" w:type="dxa"/>
        <w:jc w:val="left"/>
        <w:tblInd w:w="0" w:type="dxa"/>
        <w:tblLayout w:type="fixed"/>
        <w:tblCellMar>
          <w:top w:w="28" w:type="dxa"/>
          <w:left w:w="28" w:type="dxa"/>
          <w:bottom w:w="28" w:type="dxa"/>
          <w:right w:w="28" w:type="dxa"/>
        </w:tblCellMar>
      </w:tblPr>
      <w:tblGrid>
        <w:gridCol w:w="348"/>
        <w:gridCol w:w="306"/>
        <w:gridCol w:w="307"/>
        <w:gridCol w:w="2178"/>
        <w:gridCol w:w="2178"/>
        <w:gridCol w:w="3099"/>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millions</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$31.6</w:t>
            </w:r>
          </w:p>
        </w:tc>
        <w:tc>
          <w:tcPr>
            <w:tcW w:w="7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Working capital at February 1, 2025</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w:t>
            </w:r>
          </w:p>
        </w:tc>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primarily due to an increase in accounts payable, net of merchandise inventories.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primarily due to an increase in accrued expenses.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primarily due to an increase in credit and debit card receivables.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cash equivalents, and marketable securities.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from all other changes in current assets and current liabilities.</w:t>
            </w:r>
          </w:p>
        </w:tc>
      </w:tr>
      <w:tr>
        <w:trPr/>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$17.9</w:t>
            </w:r>
          </w:p>
        </w:tc>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Working capital at August 2, 2025</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Cash Flow Analysis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operating, investing and financing activities for the twenty-six weeks ended August 2, 2025 compared to the twenty-six weeks ended August 3, 2024 is shown in the following table (in thousands):</w:t>
      </w:r>
    </w:p>
    <w:tbl>
      <w:tblPr>
        <w:tblW w:w="7013" w:type="dxa"/>
        <w:jc w:val="left"/>
        <w:tblInd w:w="0" w:type="dxa"/>
        <w:tblLayout w:type="fixed"/>
        <w:tblCellMar>
          <w:top w:w="28" w:type="dxa"/>
          <w:left w:w="28" w:type="dxa"/>
          <w:bottom w:w="28" w:type="dxa"/>
          <w:right w:w="28" w:type="dxa"/>
        </w:tblCellMar>
      </w:tblPr>
      <w:tblGrid>
        <w:gridCol w:w="1616"/>
        <w:gridCol w:w="1421"/>
        <w:gridCol w:w="1432"/>
        <w:gridCol w:w="211"/>
        <w:gridCol w:w="736"/>
        <w:gridCol w:w="109"/>
        <w:gridCol w:w="109"/>
        <w:gridCol w:w="109"/>
        <w:gridCol w:w="109"/>
        <w:gridCol w:w="211"/>
        <w:gridCol w:w="796"/>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w:t>
              <w:br/>
              <w:t>2024</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consist primarily of net loss adjusted for non-cash items that include depreciation and amortization, asset impairment charges, deferred income taxes, gains on maturities of marketable securities and share-based compensation expense, plus the effect on cash of changes during the year in our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$5.9 million this year compared to net cash used of $15.2 million last year. The $21.1 million decrease in net cash used in operating activities compared to last year was primarily due to a decrease in merchandise inventory balances and an increase in related accounts payable as a result of efficient management of merchandise inventories and timing of payments, respectively.</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 consist primarily of capital expenditures and maturities and purchases of marketable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$23.8 million this year compared to $4.6 million last year. Net cash provided by investing activities in the first half of fiscal 2025 consisted of maturities of marketable securities of $25.8 million, partially offset by capital expenditures totaling $2.1 million. Net cash provided by investing activities in the first half of fiscal 2024 consisted of maturities of marketable securities of $48.5 million, partially offset by purchases of marketable securities of $39.3 million and capital expenditures totaling $4.6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4050"/>
                <wp:effectExtent l="0" t="0" r="0" b="0"/>
                <wp:wrapNone/>
                <wp:docPr id="27" name="Frame2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primarily consist of proceeds from employee exercises of stock options.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27, 2023 (the “Closing Date”), we entered into an asset-backed credit agreement and revolving line of credit note (the "Note" and, collectively, the “Credit Agreement”) with Wells Fargo Bank, National Association, as lender (the “Bank”). The Credit Agreement provides for an asset-based, senior secured revolving credit facility (as amended, the “Revolving Facility”) of up to $65.0 million (“Revolving Commitment”) consisting of revolving loans, letters of credit and swing line loans, with a sub-limit on letters of credit outstanding at any time of $10.0 million and a sub-limit for swing line loans of $7.5 million, which replaced our previous senior secured credit agreement. The Credit Agreement also includes an uncommitted accordion feature whereby we may increase the Revolving Commitment by an aggregate amount not to exceed $12.5 million, subject to certain conditions. On March 25, 2025, we entered into an amendment of the Credit Agreement which extended the maturity date to June 25, 2027. The payment and performance in full of the secured obligations under the Revolving Facility are secured by a lien on and security interest in all of our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maximum borrowings permitted under the Revolving Facility is equal to the lesser of (x) the Revolving Commitment and (y) the applicable borrowing base, which is equal to (i) 90% of our eligible credit card receivables, plus (ii) 90% of the cost of certain adjusted eligible inventory, less certain inventory reserves, plus (iii) 90% of the cost of certain adjusted eligible in-transit inventory, less certain inventory reserves, less (iv) certain other reserves established by the Bank.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unused portion of the Revolving Commitment accrues a commitment fee of 0.25% or 0.375% per annum, based on the average daily borrowing capacity under the Revolving Facility under the applicable fiscal quarter. Borrowings under the Revolving Facility bear interest at a rate per annum that ranges from the Secured Overnight Financing Rate (“SOFR”) plus a credit spread adjustment (equal to 10 basis points for one- and three-month term SOFR) plus 1.50% to 2.00%, or a base rate (as calculated in accordance with the Credit Agreement) (the “Base Rate”) plus 0.50% to 1.00%, based on the average daily borrowing capacity under the Revolving Facility over the applicable fiscal quarter. We are allowed to elect to apply either SOFR or Base Rate interest to borrowings at our discretion, other than in the case of swing line loans, to which the Base Rate shall apply.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we are subject to a variety of affirmative and negative covenants customary in an asset-based lending facility, including a financial covenant relating to availability (which is required to remain above the greater of: (i) ten percent (10%) of the Loan Cap (as defined in the Credit Agreement) and (ii) $6.0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Events of default under the Credit Agreement include, among other things, failure to pay principal, interest, fees or other amounts; covenant defaults; material inaccuracy of representations and warranties; bankruptcy events; actual or asserted invalidity of any the Credit Agreement or related loan documents; or a change of control.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entry into the Credit Agreement, we entered into certain ancillary agreements including (i) a security agreement in favor of the Bank, and (ii) a guarantee by us in favor of the Bank. </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As of August 2, 2025, we were in compliance with all of our covenants, were eligible to borrow up to a total of $63.0 million and had no outstanding borrowings under the Credit Agreement. The only utilization of the letters of credit sub-limit under the Credit Agreement was a $2.0 million irrevocable standby letter of credit.</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August 2, 2025, there were no material changes to our contractual obligations as described in the “Management’s Discussion and Analysis of Financial Condition and Results of Operations” section of our Annual Report on Form 10-K for the fiscal year ended February 1,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accounting principles generally accepted in the United States requires the appropriate application of certain accounting policies, some of which require us to make estimates and assumptions about future events and their impact on amounts reported in our consolidated financial statements. Since future events and their impact cannot be determined with absolute certainty, the actual results will inevitably differ from our estimates. A summary of our significant accounting policies is included in Note 2 to the consolidated financial statements in our Annual Report on Form 10-K for the fiscal year ended February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August 2, 2025, there were no material changes in the market risks described in the “Quantitative and Qualitative Disclosure About Market Risks” section of our Annual Report on Form 10-K for the fiscal year ended February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4050"/>
                <wp:effectExtent l="0" t="0" r="0" b="0"/>
                <wp:wrapNone/>
                <wp:docPr id="28" name="Frame2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our Chief Financial Officer, with the participation of our Disclosure Committee, evaluated the effectiveness of our disclosure controls and procedures as of August 2,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Based on the evaluation of our disclosure controls and procedures as of August 2, 2025, our Chief Executive Officer and Chief Financial Officer concluded that, as of such date, our disclosure controls and procedures were effective at the reasonable assurance level.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 13a-15(d) and 15d-15(d) of the Exchange Act that occurred during the thirteen weeks ended August 2, 2025 that has materially affected, or is reasonably likely to materially affect, our internal control over financial reporting.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jc w:val="left"/>
        <w:rPr/>
      </w:pPr>
      <w:r>
        <w:rPr>
          <w:rFonts w:ascii="Times New Roman;serif" w:hAnsi="Times New Roman;serif"/>
          <w:b w:val="false"/>
          <w:color w:val="000000"/>
          <w:sz w:val="20"/>
        </w:rPr>
        <w:t>The information contained in “</w:t>
      </w:r>
      <w:hyperlink w:anchor="ie2c11845114a4623aa57d3a246652bf5_55">
        <w:r>
          <w:rPr>
            <w:rStyle w:val="InternetLink"/>
            <w:rFonts w:ascii="Times New Roman;serif" w:hAnsi="Times New Roman;serif"/>
            <w:b w:val="false"/>
            <w:color w:val="0000FF"/>
            <w:sz w:val="20"/>
            <w:u w:val="single"/>
          </w:rPr>
          <w:t>Note 5: Commitments and Contingencies</w:t>
        </w:r>
      </w:hyperlink>
      <w:r>
        <w:rPr>
          <w:color w:val="000000"/>
        </w:rPr>
        <w:t xml:space="preserve">” </w:t>
      </w:r>
      <w:r>
        <w:rPr>
          <w:rFonts w:ascii="Times New Roman;serif" w:hAnsi="Times New Roman;serif"/>
          <w:b w:val="false"/>
          <w:color w:val="000000"/>
          <w:sz w:val="20"/>
        </w:rPr>
        <w:t>to our consolidated financial statements included in this Report is incorporated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rapidly changing environment that involves a number of risks that could materially and adversely affect our business, financial condition, prospects, operating results or cash flows. In addition to the other information set forth in this Report, please refer to the section titled “Risk Factors” in our Annual Report on Form 10-K for the fiscal year ended February 1, 2025 for a detailed discussion of the risks that affect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quarterly period ended August 2, 2025, none of our officers or directors adopted or terminated any “Rule 10b5-1 trading arrangement” or any “non-Rule 10b5-1 trading arrangement,” in each case,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4050"/>
                <wp:effectExtent l="0" t="0" r="0" b="0"/>
                <wp:wrapNone/>
                <wp:docPr id="29" name="Frame2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2909"/>
        <w:gridCol w:w="2625"/>
        <w:gridCol w:w="3691"/>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Tilly's, Inc. Third Amended and Restated 2012 Equity and Incentive Award Plan (incorporated by reference to Exhibit A to the Company's Definitive Proxy Statement filed on April 21, 2025).</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10.</w:t>
              </w:r>
            </w:hyperlink>
            <w:hyperlink r:id="rId5">
              <w:r>
                <w:rPr>
                  <w:rStyle w:val="InternetLink"/>
                  <w:rFonts w:ascii="Times New Roman;serif" w:hAnsi="Times New Roman;serif"/>
                  <w:b w:val="false"/>
                  <w:color w:val="000080"/>
                  <w:sz w:val="20"/>
                  <w:u w:val="single"/>
                </w:rPr>
                <w:t>2</w:t>
              </w:r>
            </w:hyperlink>
            <w:hyperlink r:id="rId6">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Offer Letter</w:t>
              </w:r>
            </w:hyperlink>
            <w:hyperlink r:id="rId8">
              <w:r>
                <w:rPr>
                  <w:rStyle w:val="InternetLink"/>
                  <w:rFonts w:ascii="Times New Roman;serif" w:hAnsi="Times New Roman;serif"/>
                  <w:b w:val="false"/>
                  <w:color w:val="000080"/>
                  <w:sz w:val="20"/>
                  <w:u w:val="single"/>
                </w:rPr>
                <w:t xml:space="preserve">, dated July 25, </w:t>
              </w:r>
            </w:hyperlink>
            <w:hyperlink r:id="rId9">
              <w:r>
                <w:rPr>
                  <w:rStyle w:val="InternetLink"/>
                  <w:rFonts w:ascii="Times New Roman;serif" w:hAnsi="Times New Roman;serif"/>
                  <w:b w:val="false"/>
                  <w:color w:val="000080"/>
                  <w:sz w:val="20"/>
                  <w:u w:val="single"/>
                </w:rPr>
                <w:t>2025,</w:t>
              </w:r>
            </w:hyperlink>
            <w:hyperlink r:id="rId10">
              <w:r>
                <w:rPr>
                  <w:rStyle w:val="InternetLink"/>
                  <w:rFonts w:ascii="Times New Roman;serif" w:hAnsi="Times New Roman;serif"/>
                  <w:b w:val="false"/>
                  <w:color w:val="000080"/>
                  <w:sz w:val="20"/>
                  <w:u w:val="single"/>
                </w:rPr>
                <w:t xml:space="preserve"> </w:t>
              </w:r>
            </w:hyperlink>
            <w:hyperlink r:id="rId11">
              <w:r>
                <w:rPr>
                  <w:rStyle w:val="InternetLink"/>
                  <w:rFonts w:ascii="Times New Roman;serif" w:hAnsi="Times New Roman;serif"/>
                  <w:b w:val="false"/>
                  <w:color w:val="000080"/>
                  <w:sz w:val="20"/>
                  <w:u w:val="single"/>
                </w:rPr>
                <w:t>for</w:t>
              </w:r>
            </w:hyperlink>
            <w:hyperlink r:id="rId12">
              <w:r>
                <w:rPr>
                  <w:rStyle w:val="InternetLink"/>
                  <w:rFonts w:ascii="Times New Roman;serif" w:hAnsi="Times New Roman;serif"/>
                  <w:b w:val="false"/>
                  <w:color w:val="000080"/>
                  <w:sz w:val="20"/>
                  <w:u w:val="single"/>
                </w:rPr>
                <w:t xml:space="preserve"> Nathan Smith </w:t>
              </w:r>
            </w:hyperlink>
            <w:hyperlink r:id="rId13">
              <w:r>
                <w:rPr>
                  <w:rStyle w:val="InternetLink"/>
                  <w:rFonts w:ascii="Times New Roman;serif" w:hAnsi="Times New Roman;serif"/>
                  <w:b w:val="false"/>
                  <w:color w:val="000080"/>
                  <w:sz w:val="20"/>
                  <w:u w:val="single"/>
                </w:rPr>
                <w:t xml:space="preserve">(incorporated by reference to Exhibit 10.1 to the </w:t>
              </w:r>
            </w:hyperlink>
            <w:hyperlink r:id="rId14">
              <w:r>
                <w:rPr>
                  <w:rStyle w:val="InternetLink"/>
                  <w:rFonts w:ascii="Times New Roman;serif" w:hAnsi="Times New Roman;serif"/>
                  <w:b w:val="false"/>
                  <w:color w:val="000080"/>
                  <w:sz w:val="20"/>
                  <w:u w:val="single"/>
                </w:rPr>
                <w:t xml:space="preserve">Form 8-K filed by the Company </w:t>
              </w:r>
            </w:hyperlink>
            <w:hyperlink r:id="rId15">
              <w:r>
                <w:rPr>
                  <w:rStyle w:val="InternetLink"/>
                  <w:rFonts w:ascii="Times New Roman;serif" w:hAnsi="Times New Roman;serif"/>
                  <w:b w:val="false"/>
                  <w:color w:val="000080"/>
                  <w:sz w:val="20"/>
                  <w:u w:val="single"/>
                </w:rPr>
                <w:t>on July 28, 2025)</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311.htm">
              <w:r>
                <w:rPr>
                  <w:rStyle w:val="InternetLink"/>
                  <w:rFonts w:ascii="Times New Roman;serif" w:hAnsi="Times New Roman;serif"/>
                  <w:b w:val="false"/>
                  <w:color w:val="0000FF"/>
                  <w:sz w:val="20"/>
                  <w:u w:val="single"/>
                </w:rPr>
                <w:t>Certification of Chief Executive Officer pursuant to Rule 13a-14(a) of the Securities Exchange Act of 1934, as amended.</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312.htm">
              <w:r>
                <w:rPr>
                  <w:rStyle w:val="InternetLink"/>
                  <w:rFonts w:ascii="Times New Roman;serif" w:hAnsi="Times New Roman;serif"/>
                  <w:b w:val="false"/>
                  <w:color w:val="0000FF"/>
                  <w:sz w:val="20"/>
                  <w:u w:val="single"/>
                </w:rPr>
                <w:t>Certification of Chief Financial Officer pursuant to Rule 13a-14(a) of the Securities Exchange Act of 1934, as amended.</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321.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files from Tilly’s, Inc.’s Quarterly Report on Form 10-Q for the quarter ended August 2, 2025, formatted in iXBRL (Inline eXtensible Business Reporting Language): (i) the Consolidated Balance Sheets; (ii) the Consolidated Statements of Operations; (iii) the Consolidated Statements of Comprehensive Income (Loss); (iv) the Consolidated Statements of Stockholders’ Equity; (v) the Consolidated Statements of Cash Flows and (vi) Notes to the Consolidated Financial Statements.</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9806" w:type="dxa"/>
        <w:jc w:val="left"/>
        <w:tblInd w:w="0" w:type="dxa"/>
        <w:tblLayout w:type="fixed"/>
        <w:tblCellMar>
          <w:top w:w="28" w:type="dxa"/>
          <w:left w:w="28" w:type="dxa"/>
          <w:bottom w:w="28" w:type="dxa"/>
          <w:right w:w="28" w:type="dxa"/>
        </w:tblCellMar>
      </w:tblPr>
      <w:tblGrid>
        <w:gridCol w:w="124"/>
        <w:gridCol w:w="109"/>
        <w:gridCol w:w="109"/>
        <w:gridCol w:w="2767"/>
        <w:gridCol w:w="2767"/>
        <w:gridCol w:w="3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Furnished herewith and not “filed” for purposes of Section 18 of the Securities Exchange Act of 1934, as amended.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54050"/>
                <wp:effectExtent l="0" t="0" r="0" b="0"/>
                <wp:wrapNone/>
                <wp:docPr id="30" name="Frame3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2c11845114a4623aa57d3a246652bf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59"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225"/>
        <w:gridCol w:w="1225"/>
        <w:gridCol w:w="17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Tilly’s,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2025</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2025</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Henry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Henry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4050"/>
                <wp:effectExtent l="0" t="0" r="0" b="0"/>
                <wp:wrapNone/>
                <wp:docPr id="31" name="Frame3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Nathan Smith,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Tilly’s, Inc. for the quarter ended August 2, 2025;</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September 4, 2025</w:t>
      </w:r>
    </w:p>
    <w:p>
      <w:pPr>
        <w:pStyle w:val="TextBody"/>
        <w:bidi w:val="0"/>
        <w:spacing w:lineRule="auto" w:line="288" w:before="0" w:after="0"/>
        <w:jc w:val="left"/>
        <w:rPr>
          <w:color w:val="000000"/>
        </w:rPr>
      </w:pPr>
      <w:r>
        <w:rPr>
          <w:color w:val="000000"/>
        </w:rPr>
        <w:t> </w:t>
      </w:r>
    </w:p>
    <w:tbl>
      <w:tblPr>
        <w:tblW w:w="3581" w:type="dxa"/>
        <w:jc w:val="left"/>
        <w:tblInd w:w="0" w:type="dxa"/>
        <w:tblLayout w:type="fixed"/>
        <w:tblCellMar>
          <w:top w:w="28" w:type="dxa"/>
          <w:left w:w="28" w:type="dxa"/>
          <w:bottom w:w="28" w:type="dxa"/>
          <w:right w:w="28" w:type="dxa"/>
        </w:tblCellMar>
      </w:tblPr>
      <w:tblGrid>
        <w:gridCol w:w="124"/>
        <w:gridCol w:w="109"/>
        <w:gridCol w:w="109"/>
        <w:gridCol w:w="944"/>
        <w:gridCol w:w="944"/>
        <w:gridCol w:w="1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Henry,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Tilly’s, Inc. for the quarter ended August 2, 2025;</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September 4, 2025</w:t>
      </w:r>
    </w:p>
    <w:p>
      <w:pPr>
        <w:pStyle w:val="TextBody"/>
        <w:bidi w:val="0"/>
        <w:spacing w:lineRule="auto" w:line="288" w:before="0" w:after="0"/>
        <w:jc w:val="left"/>
        <w:rPr>
          <w:color w:val="000000"/>
        </w:rPr>
      </w:pPr>
      <w:r>
        <w:rPr>
          <w:color w:val="000000"/>
        </w:rPr>
        <w:t> </w:t>
      </w:r>
    </w:p>
    <w:tbl>
      <w:tblPr>
        <w:tblW w:w="4526" w:type="dxa"/>
        <w:jc w:val="left"/>
        <w:tblInd w:w="0" w:type="dxa"/>
        <w:tblLayout w:type="fixed"/>
        <w:tblCellMar>
          <w:top w:w="28" w:type="dxa"/>
          <w:left w:w="28" w:type="dxa"/>
          <w:bottom w:w="28" w:type="dxa"/>
          <w:right w:w="28" w:type="dxa"/>
        </w:tblCellMar>
      </w:tblPr>
      <w:tblGrid>
        <w:gridCol w:w="124"/>
        <w:gridCol w:w="109"/>
        <w:gridCol w:w="109"/>
        <w:gridCol w:w="1223"/>
        <w:gridCol w:w="1223"/>
        <w:gridCol w:w="17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Henry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Michael Henry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fiscal quarter ended August 2, 2025 of Tilly’s, Inc. (the “Company”) as filed with the Securities and Exchange Commission on the date hereof (the “Report”), I, Nathan Smith,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September 4, 2025</w:t>
      </w:r>
    </w:p>
    <w:p>
      <w:pPr>
        <w:pStyle w:val="TextBody"/>
        <w:bidi w:val="0"/>
        <w:spacing w:lineRule="auto" w:line="288" w:before="0" w:after="0"/>
        <w:jc w:val="left"/>
        <w:rPr>
          <w:color w:val="000000"/>
        </w:rPr>
      </w:pPr>
      <w:r>
        <w:rPr>
          <w:color w:val="000000"/>
        </w:rPr>
        <w:t> </w:t>
      </w:r>
    </w:p>
    <w:tbl>
      <w:tblPr>
        <w:tblW w:w="3581" w:type="dxa"/>
        <w:jc w:val="left"/>
        <w:tblInd w:w="0" w:type="dxa"/>
        <w:tblLayout w:type="fixed"/>
        <w:tblCellMar>
          <w:top w:w="28" w:type="dxa"/>
          <w:left w:w="28" w:type="dxa"/>
          <w:bottom w:w="28" w:type="dxa"/>
          <w:right w:w="28" w:type="dxa"/>
        </w:tblCellMar>
      </w:tblPr>
      <w:tblGrid>
        <w:gridCol w:w="124"/>
        <w:gridCol w:w="109"/>
        <w:gridCol w:w="109"/>
        <w:gridCol w:w="944"/>
        <w:gridCol w:w="944"/>
        <w:gridCol w:w="1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fiscal quarter ended August 2, 2025 of Tilly’s, Inc. (the “Company”) as filed with the Securities and Exchange Commission on the date hereof (the “Report”), I, Michael Henry,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September 4, 2025</w:t>
      </w:r>
    </w:p>
    <w:p>
      <w:pPr>
        <w:pStyle w:val="TextBody"/>
        <w:bidi w:val="0"/>
        <w:spacing w:lineRule="auto" w:line="288" w:before="0" w:after="0"/>
        <w:jc w:val="left"/>
        <w:rPr>
          <w:color w:val="000000"/>
        </w:rPr>
      </w:pPr>
      <w:r>
        <w:rPr>
          <w:color w:val="000000"/>
        </w:rPr>
        <w:t> </w:t>
      </w:r>
    </w:p>
    <w:tbl>
      <w:tblPr>
        <w:tblW w:w="4526" w:type="dxa"/>
        <w:jc w:val="left"/>
        <w:tblInd w:w="0" w:type="dxa"/>
        <w:tblLayout w:type="fixed"/>
        <w:tblCellMar>
          <w:top w:w="28" w:type="dxa"/>
          <w:left w:w="28" w:type="dxa"/>
          <w:bottom w:w="28" w:type="dxa"/>
          <w:right w:w="28" w:type="dxa"/>
        </w:tblCellMar>
      </w:tblPr>
      <w:tblGrid>
        <w:gridCol w:w="124"/>
        <w:gridCol w:w="109"/>
        <w:gridCol w:w="109"/>
        <w:gridCol w:w="1223"/>
        <w:gridCol w:w="1223"/>
        <w:gridCol w:w="17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Henry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Henry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certifications are being furnished solely to accompany the Report pursuant to 18 U.S.C. Section 1350 and in accordance with SEC Release No. 33-8238. These certifications shall not be deemed “filed” for purposes of Section 18 of the Securities Exchange Act of 1934, as amended, nor shall they be incorporated by reference in any filing of the Company under the Securities Act of 1933, as amended,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4025/000162828025018674/tlys-20250421.htm" TargetMode="External"/><Relationship Id="rId3" Type="http://schemas.openxmlformats.org/officeDocument/2006/relationships/hyperlink" Target="https://www.sec.gov/Archives/edgar/data/1524025/000162828025018674/tlys-20250421.htm" TargetMode="External"/><Relationship Id="rId4" Type="http://schemas.openxmlformats.org/officeDocument/2006/relationships/hyperlink" Target="https://www.sec.gov/Archives/edgar/data/1524025/000162828025036096/ex101smithofferletter.htm" TargetMode="External"/><Relationship Id="rId5" Type="http://schemas.openxmlformats.org/officeDocument/2006/relationships/hyperlink" Target="https://www.sec.gov/Archives/edgar/data/1524025/000162828025036096/ex101smithofferletter.htm" TargetMode="External"/><Relationship Id="rId6" Type="http://schemas.openxmlformats.org/officeDocument/2006/relationships/hyperlink" Target="https://www.sec.gov/Archives/edgar/data/1524025/000162828025036096/ex101smithofferletter.htm" TargetMode="External"/><Relationship Id="rId7" Type="http://schemas.openxmlformats.org/officeDocument/2006/relationships/hyperlink" Target="https://www.sec.gov/Archives/edgar/data/1524025/000162828025036096/ex101smithofferletter.htm" TargetMode="External"/><Relationship Id="rId8" Type="http://schemas.openxmlformats.org/officeDocument/2006/relationships/hyperlink" Target="https://www.sec.gov/Archives/edgar/data/1524025/000162828025036096/ex101smithofferletter.htm" TargetMode="External"/><Relationship Id="rId9" Type="http://schemas.openxmlformats.org/officeDocument/2006/relationships/hyperlink" Target="https://www.sec.gov/Archives/edgar/data/1524025/000162828025036096/ex101smithofferletter.htm" TargetMode="External"/><Relationship Id="rId10" Type="http://schemas.openxmlformats.org/officeDocument/2006/relationships/hyperlink" Target="https://www.sec.gov/Archives/edgar/data/1524025/000162828025036096/ex101smithofferletter.htm" TargetMode="External"/><Relationship Id="rId11" Type="http://schemas.openxmlformats.org/officeDocument/2006/relationships/hyperlink" Target="https://www.sec.gov/Archives/edgar/data/1524025/000162828025036096/ex101smithofferletter.htm" TargetMode="External"/><Relationship Id="rId12" Type="http://schemas.openxmlformats.org/officeDocument/2006/relationships/hyperlink" Target="https://www.sec.gov/Archives/edgar/data/1524025/000162828025036096/ex101smithofferletter.htm" TargetMode="External"/><Relationship Id="rId13" Type="http://schemas.openxmlformats.org/officeDocument/2006/relationships/hyperlink" Target="https://www.sec.gov/Archives/edgar/data/1524025/000162828025036096/ex101smithofferletter.htm" TargetMode="External"/><Relationship Id="rId14" Type="http://schemas.openxmlformats.org/officeDocument/2006/relationships/hyperlink" Target="https://www.sec.gov/Archives/edgar/data/1524025/000162828025036096/ex101smithofferletter.htm" TargetMode="External"/><Relationship Id="rId15" Type="http://schemas.openxmlformats.org/officeDocument/2006/relationships/hyperlink" Target="https://www.sec.gov/Archives/edgar/data/1524025/000162828025036096/ex101smithofferletter.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17747</Words>
  <Characters>96102</Characters>
  <CharactersWithSpaces>112611</CharactersWithSpaces>
  <Paragraphs>2427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