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TILLY'S,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Fund 1 Investments, LLC</w:t>
              <w:br/>
              <w:t xml:space="preserve">100 Carr 115, Unit 1900, </w:t>
              <w:br/>
              <w:t>Rincon, PR, 00677</w:t>
              <w:br/>
              <w:t>804-363-4458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Fund 1 Investments,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5,801,933.00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5,801,933.00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5,801,933.00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Item 1.</w:t>
            </w:r>
          </w:p>
        </w:tc>
        <w:tc>
          <w:tcPr>
            <w:tcW w:w="9056" w:type="dxa"/>
            <w:tcBorders/>
            <w:vAlign w:val="center"/>
          </w:tcPr>
          <w:p>
            <w:pPr>
              <w:pStyle w:val="TableContents"/>
              <w:bidi w:val="0"/>
              <w:spacing w:before="0" w:after="283"/>
              <w:jc w:val="left"/>
              <w:rPr/>
            </w:pPr>
            <w:r>
              <w:rPr/>
              <w:t>Security and Issuer</w:t>
            </w:r>
          </w:p>
        </w:tc>
      </w:tr>
      <w:tr>
        <w:trPr/>
        <w:tc>
          <w:tcPr>
            <w:tcW w:w="1149" w:type="dxa"/>
            <w:tcBorders/>
            <w:vAlign w:val="center"/>
          </w:tcPr>
          <w:p>
            <w:pPr>
              <w:pStyle w:val="TableContents"/>
              <w:bidi w:val="0"/>
              <w:spacing w:before="0" w:after="283"/>
              <w:jc w:val="left"/>
              <w:rPr/>
            </w:pPr>
            <w:r>
              <w:rPr/>
              <w:t>(a)</w:t>
            </w:r>
          </w:p>
        </w:tc>
        <w:tc>
          <w:tcPr>
            <w:tcW w:w="90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49" w:type="dxa"/>
            <w:tcBorders/>
            <w:vAlign w:val="center"/>
          </w:tcPr>
          <w:p>
            <w:pPr>
              <w:pStyle w:val="TableContents"/>
              <w:bidi w:val="0"/>
              <w:spacing w:before="0" w:after="283"/>
              <w:jc w:val="left"/>
              <w:rPr/>
            </w:pPr>
            <w:r>
              <w:rPr/>
              <w:t>(b)</w:t>
            </w:r>
          </w:p>
        </w:tc>
        <w:tc>
          <w:tcPr>
            <w:tcW w:w="9056" w:type="dxa"/>
            <w:tcBorders/>
            <w:vAlign w:val="center"/>
          </w:tcPr>
          <w:p>
            <w:pPr>
              <w:pStyle w:val="TableContents"/>
              <w:bidi w:val="0"/>
              <w:jc w:val="left"/>
              <w:rPr/>
            </w:pPr>
            <w:r>
              <w:rPr/>
              <w:t xml:space="preserve">Name of Issuer: </w:t>
            </w:r>
          </w:p>
          <w:p>
            <w:pPr>
              <w:pStyle w:val="TableContents"/>
              <w:bidi w:val="0"/>
              <w:spacing w:before="0" w:after="0"/>
              <w:jc w:val="left"/>
              <w:rPr/>
            </w:pPr>
            <w:r>
              <w:rPr/>
              <w:t>TILLY'S, INC.</w:t>
            </w:r>
          </w:p>
        </w:tc>
      </w:tr>
      <w:tr>
        <w:trPr/>
        <w:tc>
          <w:tcPr>
            <w:tcW w:w="1149" w:type="dxa"/>
            <w:tcBorders/>
            <w:vAlign w:val="center"/>
          </w:tcPr>
          <w:p>
            <w:pPr>
              <w:pStyle w:val="TableContents"/>
              <w:bidi w:val="0"/>
              <w:spacing w:before="0" w:after="283"/>
              <w:jc w:val="left"/>
              <w:rPr/>
            </w:pPr>
            <w:r>
              <w:rPr/>
              <w:t>(c)</w:t>
            </w:r>
          </w:p>
        </w:tc>
        <w:tc>
          <w:tcPr>
            <w:tcW w:w="90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WHATNEY, IRVINE, CALIFORNIA , 92618.</w:t>
            </w:r>
          </w:p>
        </w:tc>
      </w:tr>
      <w:tr>
        <w:trPr/>
        <w:tc>
          <w:tcPr>
            <w:tcW w:w="1149" w:type="dxa"/>
            <w:tcBorders/>
            <w:vAlign w:val="center"/>
          </w:tcPr>
          <w:p>
            <w:pPr>
              <w:pStyle w:val="TableContents"/>
              <w:bidi w:val="0"/>
              <w:spacing w:before="0" w:after="283"/>
              <w:jc w:val="left"/>
              <w:rPr/>
            </w:pPr>
            <w:r>
              <w:rPr/>
              <w:t>Item 3.</w:t>
            </w:r>
          </w:p>
        </w:tc>
        <w:tc>
          <w:tcPr>
            <w:tcW w:w="9056" w:type="dxa"/>
            <w:tcBorders/>
            <w:vAlign w:val="center"/>
          </w:tcPr>
          <w:p>
            <w:pPr>
              <w:pStyle w:val="TableContents"/>
              <w:bidi w:val="0"/>
              <w:spacing w:before="0" w:after="283"/>
              <w:jc w:val="left"/>
              <w:rPr/>
            </w:pPr>
            <w:r>
              <w:rPr/>
              <w:t>Source and Amount of Funds or Other Consideration</w:t>
            </w:r>
          </w:p>
        </w:tc>
      </w:tr>
      <w:tr>
        <w:trPr/>
        <w:tc>
          <w:tcPr>
            <w:tcW w:w="1149" w:type="dxa"/>
            <w:tcBorders/>
            <w:vAlign w:val="center"/>
          </w:tcPr>
          <w:p>
            <w:pPr>
              <w:pStyle w:val="TableContents"/>
              <w:bidi w:val="0"/>
              <w:spacing w:before="0" w:after="283"/>
              <w:jc w:val="left"/>
              <w:rPr/>
            </w:pPr>
            <w:r>
              <w:rPr/>
              <w:t> </w:t>
            </w:r>
          </w:p>
        </w:tc>
        <w:tc>
          <w:tcPr>
            <w:tcW w:w="9056" w:type="dxa"/>
            <w:tcBorders/>
            <w:vAlign w:val="center"/>
          </w:tcPr>
          <w:p>
            <w:pPr>
              <w:pStyle w:val="TableContents"/>
              <w:bidi w:val="0"/>
              <w:spacing w:before="0" w:after="0"/>
              <w:jc w:val="left"/>
              <w:rPr/>
            </w:pPr>
            <w:r>
              <w:rPr/>
              <w:t>Item 3 is hereby amended and restated to read as follows: The shares of Class A Common Stock, $0.001 par value per share, of the Issuer (the "Shares") beneficially owned by the Reporting Person were purchased with working capital of the Funds (which may, at any given time, include margin loans made by brokerage firms in the ordinary course of business). The aggregate purchase price of the 5,801,933 Shares beneficially owned by the Reporting Person is approximately $47,074,010, including brokerage commissions.</w:t>
            </w:r>
          </w:p>
        </w:tc>
      </w:tr>
      <w:tr>
        <w:trPr/>
        <w:tc>
          <w:tcPr>
            <w:tcW w:w="1149" w:type="dxa"/>
            <w:tcBorders/>
            <w:vAlign w:val="center"/>
          </w:tcPr>
          <w:p>
            <w:pPr>
              <w:pStyle w:val="TableContents"/>
              <w:bidi w:val="0"/>
              <w:spacing w:before="0" w:after="283"/>
              <w:jc w:val="left"/>
              <w:rPr/>
            </w:pPr>
            <w:r>
              <w:rPr/>
              <w:t>Item 5.</w:t>
            </w:r>
          </w:p>
        </w:tc>
        <w:tc>
          <w:tcPr>
            <w:tcW w:w="9056" w:type="dxa"/>
            <w:tcBorders/>
            <w:vAlign w:val="center"/>
          </w:tcPr>
          <w:p>
            <w:pPr>
              <w:pStyle w:val="TableContents"/>
              <w:bidi w:val="0"/>
              <w:spacing w:before="0" w:after="283"/>
              <w:jc w:val="left"/>
              <w:rPr/>
            </w:pPr>
            <w:r>
              <w:rPr/>
              <w:t>Interest in Securities of the Issuer</w:t>
            </w:r>
          </w:p>
        </w:tc>
      </w:tr>
      <w:tr>
        <w:trPr/>
        <w:tc>
          <w:tcPr>
            <w:tcW w:w="1149" w:type="dxa"/>
            <w:tcBorders/>
            <w:vAlign w:val="center"/>
          </w:tcPr>
          <w:p>
            <w:pPr>
              <w:pStyle w:val="TableContents"/>
              <w:bidi w:val="0"/>
              <w:spacing w:before="0" w:after="283"/>
              <w:jc w:val="left"/>
              <w:rPr/>
            </w:pPr>
            <w:r>
              <w:rPr/>
              <w:t>(a)</w:t>
            </w:r>
          </w:p>
        </w:tc>
        <w:tc>
          <w:tcPr>
            <w:tcW w:w="9056" w:type="dxa"/>
            <w:tcBorders/>
            <w:vAlign w:val="center"/>
          </w:tcPr>
          <w:p>
            <w:pPr>
              <w:pStyle w:val="TableContents"/>
              <w:bidi w:val="0"/>
              <w:spacing w:before="0" w:after="0"/>
              <w:jc w:val="left"/>
              <w:rPr/>
            </w:pPr>
            <w:r>
              <w:rPr/>
              <w:t>Item 5(a) is hereby amended and restated to read as follows: The aggregate percentage of Shares reported beneficially owned by the Reporting Person is based on 23,281,157 Shares outstanding as of September 1, 2026, which is the total number of Shares outstanding as reported in the Issuer's Quarterly Report on Form 10-Q filed with the Securities and Exchange Commission on September 3, 2026. As of the date hereof, the Reporting Person beneficially owned 5,801,933 Shares, constituting approximately 24.9% of the outstanding Shares.</w:t>
            </w:r>
          </w:p>
        </w:tc>
      </w:tr>
      <w:tr>
        <w:trPr/>
        <w:tc>
          <w:tcPr>
            <w:tcW w:w="1149" w:type="dxa"/>
            <w:tcBorders/>
            <w:vAlign w:val="center"/>
          </w:tcPr>
          <w:p>
            <w:pPr>
              <w:pStyle w:val="TableContents"/>
              <w:bidi w:val="0"/>
              <w:spacing w:before="0" w:after="283"/>
              <w:jc w:val="left"/>
              <w:rPr/>
            </w:pPr>
            <w:r>
              <w:rPr/>
              <w:t>(c)</w:t>
            </w:r>
          </w:p>
        </w:tc>
        <w:tc>
          <w:tcPr>
            <w:tcW w:w="9056" w:type="dxa"/>
            <w:tcBorders/>
            <w:vAlign w:val="center"/>
          </w:tcPr>
          <w:p>
            <w:pPr>
              <w:pStyle w:val="TableContents"/>
              <w:bidi w:val="0"/>
              <w:spacing w:before="0" w:after="0"/>
              <w:jc w:val="left"/>
              <w:rPr/>
            </w:pPr>
            <w:r>
              <w:rPr/>
              <w:t>Item 5(c) is hereby amended and restated to read as follows: The transactions in the securities of the Issuer by the Reporting Person during the past 60 days are set forth in Exhibit 1 and are incorporated herein by reference.</w:t>
            </w:r>
          </w:p>
        </w:tc>
      </w:tr>
      <w:tr>
        <w:trPr/>
        <w:tc>
          <w:tcPr>
            <w:tcW w:w="1149" w:type="dxa"/>
            <w:tcBorders/>
            <w:vAlign w:val="center"/>
          </w:tcPr>
          <w:p>
            <w:pPr>
              <w:pStyle w:val="TableContents"/>
              <w:bidi w:val="0"/>
              <w:spacing w:before="0" w:after="283"/>
              <w:jc w:val="left"/>
              <w:rPr/>
            </w:pPr>
            <w:r>
              <w:rPr/>
              <w:t>Item 6.</w:t>
            </w:r>
          </w:p>
        </w:tc>
        <w:tc>
          <w:tcPr>
            <w:tcW w:w="905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9" w:type="dxa"/>
            <w:tcBorders/>
            <w:vAlign w:val="center"/>
          </w:tcPr>
          <w:p>
            <w:pPr>
              <w:pStyle w:val="TableContents"/>
              <w:bidi w:val="0"/>
              <w:spacing w:before="0" w:after="283"/>
              <w:jc w:val="left"/>
              <w:rPr/>
            </w:pPr>
            <w:r>
              <w:rPr/>
              <w:t> </w:t>
            </w:r>
          </w:p>
        </w:tc>
        <w:tc>
          <w:tcPr>
            <w:tcW w:w="9056" w:type="dxa"/>
            <w:tcBorders/>
            <w:vAlign w:val="center"/>
          </w:tcPr>
          <w:p>
            <w:pPr>
              <w:pStyle w:val="TableContents"/>
              <w:bidi w:val="0"/>
              <w:spacing w:before="0" w:after="0"/>
              <w:jc w:val="left"/>
              <w:rPr/>
            </w:pPr>
            <w:r>
              <w:rPr/>
              <w:t>Item 6 is hereby amended to add the following: The Reporting Person has entered into certain cash-settled total return swap agreements (the "Cash-Settled Swaps") with an unaffiliated third-party financial institution, which provide the Reporting Person with economic exposure to an aggregate of 2,261,027 notional Shares, representing approximately 9.7% of the outstanding Shares. The Cash-Settled Swaps provide the Reporting Person with economic results that are comparable to the economic results of ownership, but do not provide the Reporting Person with the power to vote or direct the voting or dispose of or direct the disposition of the Shares that are the subject of the Cash-Settled Swaps.</w:t>
            </w:r>
          </w:p>
        </w:tc>
      </w:tr>
      <w:tr>
        <w:trPr/>
        <w:tc>
          <w:tcPr>
            <w:tcW w:w="1149" w:type="dxa"/>
            <w:tcBorders/>
            <w:vAlign w:val="center"/>
          </w:tcPr>
          <w:p>
            <w:pPr>
              <w:pStyle w:val="TableContents"/>
              <w:bidi w:val="0"/>
              <w:spacing w:before="0" w:after="283"/>
              <w:jc w:val="left"/>
              <w:rPr/>
            </w:pPr>
            <w:r>
              <w:rPr/>
              <w:t>Item 7.</w:t>
            </w:r>
          </w:p>
        </w:tc>
        <w:tc>
          <w:tcPr>
            <w:tcW w:w="9056" w:type="dxa"/>
            <w:tcBorders/>
            <w:vAlign w:val="center"/>
          </w:tcPr>
          <w:p>
            <w:pPr>
              <w:pStyle w:val="TableContents"/>
              <w:bidi w:val="0"/>
              <w:spacing w:before="0" w:after="283"/>
              <w:jc w:val="left"/>
              <w:rPr/>
            </w:pPr>
            <w:r>
              <w:rPr/>
              <w:t>Material to be Filed as Exhibits.</w:t>
            </w:r>
          </w:p>
        </w:tc>
      </w:tr>
      <w:tr>
        <w:trPr/>
        <w:tc>
          <w:tcPr>
            <w:tcW w:w="1149" w:type="dxa"/>
            <w:tcBorders/>
            <w:vAlign w:val="center"/>
          </w:tcPr>
          <w:p>
            <w:pPr>
              <w:pStyle w:val="TableContents"/>
              <w:bidi w:val="0"/>
              <w:spacing w:before="0" w:after="283"/>
              <w:jc w:val="left"/>
              <w:rPr/>
            </w:pPr>
            <w:r>
              <w:rPr/>
              <w:t> </w:t>
            </w:r>
          </w:p>
        </w:tc>
        <w:tc>
          <w:tcPr>
            <w:tcW w:w="9056" w:type="dxa"/>
            <w:tcBorders/>
            <w:vAlign w:val="center"/>
          </w:tcPr>
          <w:p>
            <w:pPr>
              <w:pStyle w:val="TableContents"/>
              <w:bidi w:val="0"/>
              <w:spacing w:before="0" w:after="0"/>
              <w:jc w:val="left"/>
              <w:rPr/>
            </w:pPr>
            <w:r>
              <w:rPr/>
              <w:t>Item 7 is hereby amended to add the following exhibit: 1 - Transactions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Fund 1 Investments,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Benjamin C. Cable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Benjamin C. Cable,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14" w:name="ex1to13da1813866002_090826.htm"/>
      <w:bookmarkStart w:id="15" w:name="ksex1to13da1813866002_090826"/>
      <w:bookmarkEnd w:id="14"/>
      <w:bookmarkEnd w:id="15"/>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During the Past 60 Days</w:t>
      </w:r>
    </w:p>
    <w:tbl>
      <w:tblPr>
        <w:tblW w:w="5675" w:type="dxa"/>
        <w:jc w:val="left"/>
        <w:tblInd w:w="0" w:type="dxa"/>
        <w:tblLayout w:type="fixed"/>
        <w:tblCellMar>
          <w:top w:w="0" w:type="dxa"/>
          <w:left w:w="0" w:type="dxa"/>
          <w:bottom w:w="0" w:type="dxa"/>
          <w:right w:w="0" w:type="dxa"/>
        </w:tblCellMar>
      </w:tblPr>
      <w:tblGrid>
        <w:gridCol w:w="2090"/>
        <w:gridCol w:w="1730"/>
        <w:gridCol w:w="695"/>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Price ($)</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FUND 1 INVESTMENTS, LLC</w:t>
      </w:r>
    </w:p>
    <w:tbl>
      <w:tblPr>
        <w:tblW w:w="5915" w:type="dxa"/>
        <w:jc w:val="left"/>
        <w:tblInd w:w="0" w:type="dxa"/>
        <w:tblLayout w:type="fixed"/>
        <w:tblCellMar>
          <w:top w:w="0" w:type="dxa"/>
          <w:left w:w="0" w:type="dxa"/>
          <w:bottom w:w="0" w:type="dxa"/>
          <w:right w:w="0" w:type="dxa"/>
        </w:tblCellMar>
      </w:tblPr>
      <w:tblGrid>
        <w:gridCol w:w="3050"/>
        <w:gridCol w:w="950"/>
        <w:gridCol w:w="800"/>
        <w:gridCol w:w="1115"/>
      </w:tblGrid>
      <w:tr>
        <w:trPr/>
        <w:tc>
          <w:tcPr>
            <w:tcW w:w="3050" w:type="dxa"/>
            <w:tcBorders/>
            <w:shd w:fill="CCEEFF" w:val="clear"/>
            <w:vAlign w:val="center"/>
          </w:tcPr>
          <w:p>
            <w:pPr>
              <w:pStyle w:val="TableContents"/>
              <w:bidi w:val="0"/>
              <w:spacing w:before="0" w:after="283"/>
              <w:jc w:val="left"/>
              <w:rPr/>
            </w:pPr>
            <w:r>
              <w:rPr/>
              <w:t>Sale of Class A Common Stock</w:t>
            </w:r>
          </w:p>
        </w:tc>
        <w:tc>
          <w:tcPr>
            <w:tcW w:w="950" w:type="dxa"/>
            <w:tcBorders/>
            <w:shd w:fill="CCEEFF" w:val="clear"/>
            <w:vAlign w:val="center"/>
          </w:tcPr>
          <w:p>
            <w:pPr>
              <w:pStyle w:val="TableContents"/>
              <w:bidi w:val="0"/>
              <w:spacing w:before="0" w:after="283"/>
              <w:jc w:val="center"/>
              <w:rPr/>
            </w:pPr>
            <w:r>
              <w:rPr/>
              <w:t>(863,726)</w:t>
            </w:r>
          </w:p>
        </w:tc>
        <w:tc>
          <w:tcPr>
            <w:tcW w:w="800" w:type="dxa"/>
            <w:tcBorders/>
            <w:shd w:fill="CCEEFF" w:val="clear"/>
            <w:vAlign w:val="center"/>
          </w:tcPr>
          <w:p>
            <w:pPr>
              <w:pStyle w:val="TableContents"/>
              <w:bidi w:val="0"/>
              <w:spacing w:before="0" w:after="283"/>
              <w:jc w:val="center"/>
              <w:rPr/>
            </w:pPr>
            <w:r>
              <w:rPr/>
              <w:t>$4.6686</w:t>
            </w:r>
          </w:p>
        </w:tc>
        <w:tc>
          <w:tcPr>
            <w:tcW w:w="1115" w:type="dxa"/>
            <w:tcBorders/>
            <w:shd w:fill="CCEEFF" w:val="clear"/>
            <w:vAlign w:val="center"/>
          </w:tcPr>
          <w:p>
            <w:pPr>
              <w:pStyle w:val="TableContents"/>
              <w:bidi w:val="0"/>
              <w:spacing w:before="0" w:after="283"/>
              <w:jc w:val="center"/>
              <w:rPr/>
            </w:pPr>
            <w:r>
              <w:rPr/>
              <w:t>09/03/2026</w:t>
            </w:r>
          </w:p>
        </w:tc>
      </w:tr>
      <w:tr>
        <w:trPr/>
        <w:tc>
          <w:tcPr>
            <w:tcW w:w="3050" w:type="dxa"/>
            <w:tcBorders/>
            <w:shd w:fill="FFFFFF" w:val="clear"/>
            <w:vAlign w:val="center"/>
          </w:tcPr>
          <w:p>
            <w:pPr>
              <w:pStyle w:val="TableContents"/>
              <w:bidi w:val="0"/>
              <w:spacing w:before="0" w:after="283"/>
              <w:jc w:val="left"/>
              <w:rPr/>
            </w:pPr>
            <w:r>
              <w:rPr/>
              <w:t>Sale of Class A Common Stock</w:t>
            </w:r>
          </w:p>
        </w:tc>
        <w:tc>
          <w:tcPr>
            <w:tcW w:w="950" w:type="dxa"/>
            <w:tcBorders/>
            <w:shd w:fill="FFFFFF" w:val="clear"/>
            <w:vAlign w:val="center"/>
          </w:tcPr>
          <w:p>
            <w:pPr>
              <w:pStyle w:val="TableContents"/>
              <w:bidi w:val="0"/>
              <w:spacing w:before="0" w:after="283"/>
              <w:jc w:val="center"/>
              <w:rPr/>
            </w:pPr>
            <w:r>
              <w:rPr/>
              <w:t>(526,474)</w:t>
            </w:r>
          </w:p>
        </w:tc>
        <w:tc>
          <w:tcPr>
            <w:tcW w:w="800" w:type="dxa"/>
            <w:tcBorders/>
            <w:shd w:fill="FFFFFF" w:val="clear"/>
            <w:vAlign w:val="center"/>
          </w:tcPr>
          <w:p>
            <w:pPr>
              <w:pStyle w:val="TableContents"/>
              <w:bidi w:val="0"/>
              <w:spacing w:before="0" w:after="283"/>
              <w:jc w:val="center"/>
              <w:rPr/>
            </w:pPr>
            <w:r>
              <w:rPr/>
              <w:t>$4.1436</w:t>
            </w:r>
          </w:p>
        </w:tc>
        <w:tc>
          <w:tcPr>
            <w:tcW w:w="1115" w:type="dxa"/>
            <w:tcBorders/>
            <w:shd w:fill="FFFFFF" w:val="clear"/>
            <w:vAlign w:val="center"/>
          </w:tcPr>
          <w:p>
            <w:pPr>
              <w:pStyle w:val="TableContents"/>
              <w:bidi w:val="0"/>
              <w:spacing w:before="0" w:after="283"/>
              <w:jc w:val="center"/>
              <w:rPr/>
            </w:pPr>
            <w:r>
              <w:rPr/>
              <w:t>09/03/2026</w:t>
            </w:r>
          </w:p>
        </w:tc>
      </w:tr>
      <w:tr>
        <w:trPr/>
        <w:tc>
          <w:tcPr>
            <w:tcW w:w="3050" w:type="dxa"/>
            <w:tcBorders/>
            <w:shd w:fill="CCEEFF" w:val="clear"/>
            <w:vAlign w:val="center"/>
          </w:tcPr>
          <w:p>
            <w:pPr>
              <w:pStyle w:val="TableContents"/>
              <w:bidi w:val="0"/>
              <w:spacing w:before="0" w:after="283"/>
              <w:jc w:val="left"/>
              <w:rPr/>
            </w:pPr>
            <w:r>
              <w:rPr/>
              <w:t>Sale of Class A Common Stock</w:t>
            </w:r>
          </w:p>
        </w:tc>
        <w:tc>
          <w:tcPr>
            <w:tcW w:w="950" w:type="dxa"/>
            <w:tcBorders/>
            <w:shd w:fill="CCEEFF" w:val="clear"/>
            <w:vAlign w:val="center"/>
          </w:tcPr>
          <w:p>
            <w:pPr>
              <w:pStyle w:val="TableContents"/>
              <w:bidi w:val="0"/>
              <w:spacing w:before="0" w:after="283"/>
              <w:jc w:val="center"/>
              <w:rPr/>
            </w:pPr>
            <w:r>
              <w:rPr/>
              <w:t>(252,725)</w:t>
            </w:r>
          </w:p>
        </w:tc>
        <w:tc>
          <w:tcPr>
            <w:tcW w:w="800" w:type="dxa"/>
            <w:tcBorders/>
            <w:shd w:fill="CCEEFF" w:val="clear"/>
            <w:vAlign w:val="center"/>
          </w:tcPr>
          <w:p>
            <w:pPr>
              <w:pStyle w:val="TableContents"/>
              <w:bidi w:val="0"/>
              <w:spacing w:before="0" w:after="283"/>
              <w:jc w:val="center"/>
              <w:rPr/>
            </w:pPr>
            <w:r>
              <w:rPr/>
              <w:t>$4.5893</w:t>
            </w:r>
          </w:p>
        </w:tc>
        <w:tc>
          <w:tcPr>
            <w:tcW w:w="1115" w:type="dxa"/>
            <w:tcBorders/>
            <w:shd w:fill="CCEEFF" w:val="clear"/>
            <w:vAlign w:val="center"/>
          </w:tcPr>
          <w:p>
            <w:pPr>
              <w:pStyle w:val="TableContents"/>
              <w:bidi w:val="0"/>
              <w:spacing w:before="0" w:after="283"/>
              <w:jc w:val="center"/>
              <w:rPr/>
            </w:pPr>
            <w:r>
              <w:rPr/>
              <w:t>09/03/2026</w:t>
            </w:r>
          </w:p>
        </w:tc>
      </w:tr>
      <w:tr>
        <w:trPr/>
        <w:tc>
          <w:tcPr>
            <w:tcW w:w="3050" w:type="dxa"/>
            <w:tcBorders/>
            <w:shd w:fill="FFFFFF" w:val="clear"/>
            <w:vAlign w:val="center"/>
          </w:tcPr>
          <w:p>
            <w:pPr>
              <w:pStyle w:val="TableContents"/>
              <w:bidi w:val="0"/>
              <w:spacing w:before="0" w:after="283"/>
              <w:jc w:val="left"/>
              <w:rPr/>
            </w:pPr>
            <w:r>
              <w:rPr/>
              <w:t>Sale of Class A Common Stock</w:t>
            </w:r>
          </w:p>
        </w:tc>
        <w:tc>
          <w:tcPr>
            <w:tcW w:w="950" w:type="dxa"/>
            <w:tcBorders/>
            <w:shd w:fill="FFFFFF" w:val="clear"/>
            <w:vAlign w:val="center"/>
          </w:tcPr>
          <w:p>
            <w:pPr>
              <w:pStyle w:val="TableContents"/>
              <w:bidi w:val="0"/>
              <w:spacing w:before="0" w:after="283"/>
              <w:jc w:val="center"/>
              <w:rPr/>
            </w:pPr>
            <w:r>
              <w:rPr/>
              <w:t>(1,330)</w:t>
            </w:r>
          </w:p>
        </w:tc>
        <w:tc>
          <w:tcPr>
            <w:tcW w:w="800" w:type="dxa"/>
            <w:tcBorders/>
            <w:shd w:fill="FFFFFF" w:val="clear"/>
            <w:vAlign w:val="center"/>
          </w:tcPr>
          <w:p>
            <w:pPr>
              <w:pStyle w:val="TableContents"/>
              <w:bidi w:val="0"/>
              <w:spacing w:before="0" w:after="283"/>
              <w:jc w:val="center"/>
              <w:rPr/>
            </w:pPr>
            <w:r>
              <w:rPr/>
              <w:t>$4.3591</w:t>
            </w:r>
          </w:p>
        </w:tc>
        <w:tc>
          <w:tcPr>
            <w:tcW w:w="1115" w:type="dxa"/>
            <w:tcBorders/>
            <w:shd w:fill="FFFFFF" w:val="clear"/>
            <w:vAlign w:val="center"/>
          </w:tcPr>
          <w:p>
            <w:pPr>
              <w:pStyle w:val="TableContents"/>
              <w:bidi w:val="0"/>
              <w:spacing w:before="0" w:after="283"/>
              <w:jc w:val="center"/>
              <w:rPr/>
            </w:pPr>
            <w:r>
              <w:rPr/>
              <w:t>09/03/2026</w:t>
            </w:r>
          </w:p>
        </w:tc>
      </w:tr>
      <w:tr>
        <w:trPr/>
        <w:tc>
          <w:tcPr>
            <w:tcW w:w="3050" w:type="dxa"/>
            <w:tcBorders/>
            <w:shd w:fill="CCEEFF" w:val="clear"/>
            <w:vAlign w:val="center"/>
          </w:tcPr>
          <w:p>
            <w:pPr>
              <w:pStyle w:val="TableContents"/>
              <w:bidi w:val="0"/>
              <w:spacing w:before="0" w:after="283"/>
              <w:jc w:val="left"/>
              <w:rPr/>
            </w:pPr>
            <w:r>
              <w:rPr/>
              <w:t>Sale of Class A Common Stock</w:t>
            </w:r>
          </w:p>
        </w:tc>
        <w:tc>
          <w:tcPr>
            <w:tcW w:w="950" w:type="dxa"/>
            <w:tcBorders/>
            <w:shd w:fill="CCEEFF" w:val="clear"/>
            <w:vAlign w:val="center"/>
          </w:tcPr>
          <w:p>
            <w:pPr>
              <w:pStyle w:val="TableContents"/>
              <w:bidi w:val="0"/>
              <w:spacing w:before="0" w:after="283"/>
              <w:jc w:val="center"/>
              <w:rPr/>
            </w:pPr>
            <w:r>
              <w:rPr/>
              <w:t>(377,129)</w:t>
            </w:r>
          </w:p>
        </w:tc>
        <w:tc>
          <w:tcPr>
            <w:tcW w:w="800" w:type="dxa"/>
            <w:tcBorders/>
            <w:shd w:fill="CCEEFF" w:val="clear"/>
            <w:vAlign w:val="center"/>
          </w:tcPr>
          <w:p>
            <w:pPr>
              <w:pStyle w:val="TableContents"/>
              <w:bidi w:val="0"/>
              <w:spacing w:before="0" w:after="283"/>
              <w:jc w:val="center"/>
              <w:rPr/>
            </w:pPr>
            <w:r>
              <w:rPr/>
              <w:t>$4.4955</w:t>
            </w:r>
          </w:p>
        </w:tc>
        <w:tc>
          <w:tcPr>
            <w:tcW w:w="1115" w:type="dxa"/>
            <w:tcBorders/>
            <w:shd w:fill="CCEEFF" w:val="clear"/>
            <w:vAlign w:val="center"/>
          </w:tcPr>
          <w:p>
            <w:pPr>
              <w:pStyle w:val="TableContents"/>
              <w:bidi w:val="0"/>
              <w:spacing w:before="0" w:after="283"/>
              <w:jc w:val="center"/>
              <w:rPr/>
            </w:pPr>
            <w:r>
              <w:rPr/>
              <w:t>09/04/2026</w:t>
            </w:r>
          </w:p>
        </w:tc>
      </w:tr>
      <w:tr>
        <w:trPr/>
        <w:tc>
          <w:tcPr>
            <w:tcW w:w="3050" w:type="dxa"/>
            <w:tcBorders/>
            <w:shd w:fill="FFFFFF" w:val="clear"/>
            <w:vAlign w:val="center"/>
          </w:tcPr>
          <w:p>
            <w:pPr>
              <w:pStyle w:val="TableContents"/>
              <w:bidi w:val="0"/>
              <w:spacing w:before="0" w:after="283"/>
              <w:jc w:val="left"/>
              <w:rPr/>
            </w:pPr>
            <w:r>
              <w:rPr/>
              <w:t>Sale of Class A Common Stock</w:t>
            </w:r>
          </w:p>
        </w:tc>
        <w:tc>
          <w:tcPr>
            <w:tcW w:w="950" w:type="dxa"/>
            <w:tcBorders/>
            <w:shd w:fill="FFFFFF" w:val="clear"/>
            <w:vAlign w:val="center"/>
          </w:tcPr>
          <w:p>
            <w:pPr>
              <w:pStyle w:val="TableContents"/>
              <w:bidi w:val="0"/>
              <w:spacing w:before="0" w:after="283"/>
              <w:jc w:val="center"/>
              <w:rPr/>
            </w:pPr>
            <w:r>
              <w:rPr/>
              <w:t>(19,764)</w:t>
            </w:r>
          </w:p>
        </w:tc>
        <w:tc>
          <w:tcPr>
            <w:tcW w:w="800" w:type="dxa"/>
            <w:tcBorders/>
            <w:shd w:fill="FFFFFF" w:val="clear"/>
            <w:vAlign w:val="center"/>
          </w:tcPr>
          <w:p>
            <w:pPr>
              <w:pStyle w:val="TableContents"/>
              <w:bidi w:val="0"/>
              <w:spacing w:before="0" w:after="283"/>
              <w:jc w:val="center"/>
              <w:rPr/>
            </w:pPr>
            <w:r>
              <w:rPr/>
              <w:t>$4.3667</w:t>
            </w:r>
          </w:p>
        </w:tc>
        <w:tc>
          <w:tcPr>
            <w:tcW w:w="1115" w:type="dxa"/>
            <w:tcBorders/>
            <w:shd w:fill="FFFFFF" w:val="clear"/>
            <w:vAlign w:val="center"/>
          </w:tcPr>
          <w:p>
            <w:pPr>
              <w:pStyle w:val="TableContents"/>
              <w:bidi w:val="0"/>
              <w:spacing w:before="0" w:after="283"/>
              <w:jc w:val="center"/>
              <w:rPr/>
            </w:pPr>
            <w:r>
              <w:rPr/>
              <w:t>09/04/2026</w:t>
            </w:r>
          </w:p>
        </w:tc>
      </w:tr>
      <w:tr>
        <w:trPr/>
        <w:tc>
          <w:tcPr>
            <w:tcW w:w="3050" w:type="dxa"/>
            <w:tcBorders/>
            <w:shd w:fill="CCEEFF" w:val="clear"/>
            <w:vAlign w:val="center"/>
          </w:tcPr>
          <w:p>
            <w:pPr>
              <w:pStyle w:val="TableContents"/>
              <w:bidi w:val="0"/>
              <w:spacing w:before="0" w:after="283"/>
              <w:jc w:val="left"/>
              <w:rPr/>
            </w:pPr>
            <w:r>
              <w:rPr/>
              <w:t>Sale of Class A Common Stock</w:t>
            </w:r>
          </w:p>
        </w:tc>
        <w:tc>
          <w:tcPr>
            <w:tcW w:w="950" w:type="dxa"/>
            <w:tcBorders/>
            <w:shd w:fill="CCEEFF" w:val="clear"/>
            <w:vAlign w:val="center"/>
          </w:tcPr>
          <w:p>
            <w:pPr>
              <w:pStyle w:val="TableContents"/>
              <w:bidi w:val="0"/>
              <w:spacing w:before="0" w:after="283"/>
              <w:jc w:val="center"/>
              <w:rPr/>
            </w:pPr>
            <w:r>
              <w:rPr/>
              <w:t>(34,115)</w:t>
            </w:r>
          </w:p>
        </w:tc>
        <w:tc>
          <w:tcPr>
            <w:tcW w:w="800" w:type="dxa"/>
            <w:tcBorders/>
            <w:shd w:fill="CCEEFF" w:val="clear"/>
            <w:vAlign w:val="center"/>
          </w:tcPr>
          <w:p>
            <w:pPr>
              <w:pStyle w:val="TableContents"/>
              <w:bidi w:val="0"/>
              <w:spacing w:before="0" w:after="283"/>
              <w:jc w:val="center"/>
              <w:rPr/>
            </w:pPr>
            <w:r>
              <w:rPr/>
              <w:t>$4.5206</w:t>
            </w:r>
          </w:p>
        </w:tc>
        <w:tc>
          <w:tcPr>
            <w:tcW w:w="1115" w:type="dxa"/>
            <w:tcBorders/>
            <w:shd w:fill="CCEEFF" w:val="clear"/>
            <w:vAlign w:val="center"/>
          </w:tcPr>
          <w:p>
            <w:pPr>
              <w:pStyle w:val="TableContents"/>
              <w:bidi w:val="0"/>
              <w:spacing w:before="0" w:after="283"/>
              <w:jc w:val="center"/>
              <w:rPr/>
            </w:pPr>
            <w:r>
              <w:rPr/>
              <w:t>09/04/2026</w:t>
            </w:r>
          </w:p>
        </w:tc>
      </w:tr>
      <w:tr>
        <w:trPr/>
        <w:tc>
          <w:tcPr>
            <w:tcW w:w="3050" w:type="dxa"/>
            <w:tcBorders/>
            <w:shd w:fill="FFFFFF" w:val="clear"/>
            <w:vAlign w:val="center"/>
          </w:tcPr>
          <w:p>
            <w:pPr>
              <w:pStyle w:val="TableContents"/>
              <w:bidi w:val="0"/>
              <w:spacing w:before="0" w:after="283"/>
              <w:jc w:val="left"/>
              <w:rPr/>
            </w:pPr>
            <w:r>
              <w:rPr/>
              <w:t>Sale of Class A Common Stock</w:t>
            </w:r>
          </w:p>
        </w:tc>
        <w:tc>
          <w:tcPr>
            <w:tcW w:w="950" w:type="dxa"/>
            <w:tcBorders/>
            <w:shd w:fill="FFFFFF" w:val="clear"/>
            <w:vAlign w:val="center"/>
          </w:tcPr>
          <w:p>
            <w:pPr>
              <w:pStyle w:val="TableContents"/>
              <w:bidi w:val="0"/>
              <w:spacing w:before="0" w:after="283"/>
              <w:jc w:val="center"/>
              <w:rPr/>
            </w:pPr>
            <w:r>
              <w:rPr/>
              <w:t>(1,102)</w:t>
            </w:r>
          </w:p>
        </w:tc>
        <w:tc>
          <w:tcPr>
            <w:tcW w:w="800" w:type="dxa"/>
            <w:tcBorders/>
            <w:shd w:fill="FFFFFF" w:val="clear"/>
            <w:vAlign w:val="center"/>
          </w:tcPr>
          <w:p>
            <w:pPr>
              <w:pStyle w:val="TableContents"/>
              <w:bidi w:val="0"/>
              <w:spacing w:before="0" w:after="283"/>
              <w:jc w:val="center"/>
              <w:rPr/>
            </w:pPr>
            <w:r>
              <w:rPr/>
              <w:t>$4.5036</w:t>
            </w:r>
          </w:p>
        </w:tc>
        <w:tc>
          <w:tcPr>
            <w:tcW w:w="1115" w:type="dxa"/>
            <w:tcBorders/>
            <w:shd w:fill="FFFFFF" w:val="clear"/>
            <w:vAlign w:val="center"/>
          </w:tcPr>
          <w:p>
            <w:pPr>
              <w:pStyle w:val="TableContents"/>
              <w:bidi w:val="0"/>
              <w:spacing w:before="0" w:after="283"/>
              <w:jc w:val="center"/>
              <w:rPr/>
            </w:pPr>
            <w:r>
              <w:rPr/>
              <w:t>09/04/2026</w:t>
            </w:r>
          </w:p>
        </w:tc>
      </w:tr>
      <w:tr>
        <w:trPr/>
        <w:tc>
          <w:tcPr>
            <w:tcW w:w="3050" w:type="dxa"/>
            <w:tcBorders/>
            <w:shd w:fill="CCEEFF" w:val="clear"/>
            <w:vAlign w:val="center"/>
          </w:tcPr>
          <w:p>
            <w:pPr>
              <w:pStyle w:val="TableContents"/>
              <w:bidi w:val="0"/>
              <w:spacing w:before="0" w:after="283"/>
              <w:jc w:val="left"/>
              <w:rPr/>
            </w:pPr>
            <w:r>
              <w:rPr/>
              <w:t>Sale of Class A Common Stock</w:t>
            </w:r>
          </w:p>
        </w:tc>
        <w:tc>
          <w:tcPr>
            <w:tcW w:w="950" w:type="dxa"/>
            <w:tcBorders/>
            <w:shd w:fill="CCEEFF" w:val="clear"/>
            <w:vAlign w:val="center"/>
          </w:tcPr>
          <w:p>
            <w:pPr>
              <w:pStyle w:val="TableContents"/>
              <w:bidi w:val="0"/>
              <w:spacing w:before="0" w:after="283"/>
              <w:jc w:val="center"/>
              <w:rPr/>
            </w:pPr>
            <w:r>
              <w:rPr/>
              <w:t>(174,870)</w:t>
            </w:r>
          </w:p>
        </w:tc>
        <w:tc>
          <w:tcPr>
            <w:tcW w:w="800" w:type="dxa"/>
            <w:tcBorders/>
            <w:shd w:fill="CCEEFF" w:val="clear"/>
            <w:vAlign w:val="center"/>
          </w:tcPr>
          <w:p>
            <w:pPr>
              <w:pStyle w:val="TableContents"/>
              <w:bidi w:val="0"/>
              <w:spacing w:before="0" w:after="283"/>
              <w:jc w:val="center"/>
              <w:rPr/>
            </w:pPr>
            <w:r>
              <w:rPr/>
              <w:t>$4.1717</w:t>
            </w:r>
          </w:p>
        </w:tc>
        <w:tc>
          <w:tcPr>
            <w:tcW w:w="1115" w:type="dxa"/>
            <w:tcBorders/>
            <w:shd w:fill="CCEEFF" w:val="clear"/>
            <w:vAlign w:val="center"/>
          </w:tcPr>
          <w:p>
            <w:pPr>
              <w:pStyle w:val="TableContents"/>
              <w:bidi w:val="0"/>
              <w:spacing w:before="0" w:after="283"/>
              <w:jc w:val="center"/>
              <w:rPr/>
            </w:pPr>
            <w:r>
              <w:rPr/>
              <w:t>09/08/2026</w:t>
            </w:r>
          </w:p>
        </w:tc>
      </w:tr>
      <w:tr>
        <w:trPr/>
        <w:tc>
          <w:tcPr>
            <w:tcW w:w="3050" w:type="dxa"/>
            <w:tcBorders/>
            <w:shd w:fill="FFFFFF" w:val="clear"/>
            <w:vAlign w:val="center"/>
          </w:tcPr>
          <w:p>
            <w:pPr>
              <w:pStyle w:val="TableContents"/>
              <w:bidi w:val="0"/>
              <w:spacing w:before="0" w:after="283"/>
              <w:jc w:val="left"/>
              <w:rPr/>
            </w:pPr>
            <w:r>
              <w:rPr/>
              <w:t>Sale of Class A Common Stock</w:t>
            </w:r>
          </w:p>
        </w:tc>
        <w:tc>
          <w:tcPr>
            <w:tcW w:w="950" w:type="dxa"/>
            <w:tcBorders/>
            <w:shd w:fill="FFFFFF" w:val="clear"/>
            <w:vAlign w:val="center"/>
          </w:tcPr>
          <w:p>
            <w:pPr>
              <w:pStyle w:val="TableContents"/>
              <w:bidi w:val="0"/>
              <w:spacing w:before="0" w:after="283"/>
              <w:jc w:val="center"/>
              <w:rPr/>
            </w:pPr>
            <w:r>
              <w:rPr/>
              <w:t>(5,100)</w:t>
            </w:r>
          </w:p>
        </w:tc>
        <w:tc>
          <w:tcPr>
            <w:tcW w:w="800" w:type="dxa"/>
            <w:tcBorders/>
            <w:shd w:fill="FFFFFF" w:val="clear"/>
            <w:vAlign w:val="center"/>
          </w:tcPr>
          <w:p>
            <w:pPr>
              <w:pStyle w:val="TableContents"/>
              <w:bidi w:val="0"/>
              <w:spacing w:before="0" w:after="283"/>
              <w:jc w:val="center"/>
              <w:rPr/>
            </w:pPr>
            <w:r>
              <w:rPr/>
              <w:t>$4.2449</w:t>
            </w:r>
          </w:p>
        </w:tc>
        <w:tc>
          <w:tcPr>
            <w:tcW w:w="1115" w:type="dxa"/>
            <w:tcBorders/>
            <w:shd w:fill="FFFFFF" w:val="clear"/>
            <w:vAlign w:val="center"/>
          </w:tcPr>
          <w:p>
            <w:pPr>
              <w:pStyle w:val="TableContents"/>
              <w:bidi w:val="0"/>
              <w:spacing w:before="0" w:after="283"/>
              <w:jc w:val="center"/>
              <w:rPr/>
            </w:pPr>
            <w:r>
              <w:rPr/>
              <w:t>09/08/2026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884</Words>
  <Characters>4663</Characters>
  <CharactersWithSpaces>5456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