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TILLY'S,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1,312,712.00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1,312,712.00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1,312,712.00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Renaissance Technologies Holdings Corporation</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1,312,712.00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1,312,712.00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1,312,712.00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5.66 %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TILLY'S,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10 WHATNEY, IRVINE, CA 92618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filed by Renaissance Technologies LLC ("RTC") and Renaissance Technologies Holdings Corporation ("RTHC").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520 Madison Avenue,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RTC is a Delaware limited liability company, and RTHC is a Delaware corporation.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1312712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5.66  %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1312712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1312712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managed by RTC have the right to receive dividends and proceeds from the sale of the securities which are the subject of this report.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636" w:type="dxa"/>
        <w:jc w:val="left"/>
        <w:tblInd w:w="0" w:type="dxa"/>
        <w:tblLayout w:type="fixed"/>
        <w:tblCellMar>
          <w:top w:w="28" w:type="dxa"/>
          <w:left w:w="28" w:type="dxa"/>
          <w:bottom w:w="28" w:type="dxa"/>
          <w:right w:w="28" w:type="dxa"/>
        </w:tblCellMar>
      </w:tblPr>
      <w:tblGrid>
        <w:gridCol w:w="3318"/>
        <w:gridCol w:w="3318"/>
      </w:tblGrid>
      <w:tr>
        <w:trPr/>
        <w:tc>
          <w:tcPr>
            <w:tcW w:w="3318" w:type="dxa"/>
            <w:tcBorders/>
            <w:vAlign w:val="center"/>
          </w:tcPr>
          <w:p>
            <w:pPr>
              <w:pStyle w:val="TableContents"/>
              <w:bidi w:val="0"/>
              <w:spacing w:before="0" w:after="0"/>
              <w:jc w:val="left"/>
              <w:rPr/>
            </w:pPr>
            <w:r>
              <w:rPr/>
              <w:t> </w:t>
            </w:r>
          </w:p>
          <w:tbl>
            <w:tblPr>
              <w:tblW w:w="3196" w:type="dxa"/>
              <w:jc w:val="left"/>
              <w:tblInd w:w="0" w:type="dxa"/>
              <w:tblLayout w:type="fixed"/>
              <w:tblCellMar>
                <w:top w:w="28" w:type="dxa"/>
                <w:left w:w="28" w:type="dxa"/>
                <w:bottom w:w="28" w:type="dxa"/>
                <w:right w:w="28" w:type="dxa"/>
              </w:tblCellMar>
            </w:tblPr>
            <w:tblGrid>
              <w:gridCol w:w="3196"/>
            </w:tblGrid>
            <w:tr>
              <w:trPr/>
              <w:tc>
                <w:tcPr>
                  <w:tcW w:w="3196" w:type="dxa"/>
                  <w:tcBorders/>
                  <w:vAlign w:val="center"/>
                </w:tcPr>
                <w:p>
                  <w:pPr>
                    <w:pStyle w:val="TableContents"/>
                    <w:bidi w:val="0"/>
                    <w:spacing w:before="0" w:after="0"/>
                    <w:jc w:val="left"/>
                    <w:rPr/>
                  </w:pPr>
                  <w:r>
                    <w:rPr/>
                    <w:t>Renaissance Technologies LLC</w:t>
                  </w:r>
                </w:p>
              </w:tc>
            </w:tr>
          </w:tbl>
          <w:p>
            <w:pPr>
              <w:pStyle w:val="TableContents"/>
              <w:bidi w:val="0"/>
              <w:spacing w:before="0" w:after="283"/>
              <w:jc w:val="left"/>
              <w:rPr/>
            </w:pPr>
            <w:r>
              <w:rPr/>
            </w:r>
          </w:p>
        </w:tc>
        <w:tc>
          <w:tcPr>
            <w:tcW w:w="331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9"/>
        <w:gridCol w:w="4376"/>
      </w:tblGrid>
      <w:tr>
        <w:trPr/>
        <w:tc>
          <w:tcPr>
            <w:tcW w:w="582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Brian Felczak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Chief Financial Officer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76" w:type="dxa"/>
            <w:tcBorders/>
            <w:vAlign w:val="center"/>
          </w:tcPr>
          <w:p>
            <w:pPr>
              <w:pStyle w:val="TableContents"/>
              <w:bidi w:val="0"/>
              <w:spacing w:before="0" w:after="283"/>
              <w:jc w:val="left"/>
              <w:rPr>
                <w:sz w:val="4"/>
                <w:szCs w:val="4"/>
              </w:rPr>
            </w:pPr>
            <w:r>
              <w:rPr>
                <w:sz w:val="4"/>
                <w:szCs w:val="4"/>
              </w:rPr>
            </w:r>
          </w:p>
        </w:tc>
      </w:tr>
    </w:tbl>
    <w:tbl>
      <w:tblPr>
        <w:tblW w:w="9912" w:type="dxa"/>
        <w:jc w:val="left"/>
        <w:tblInd w:w="0" w:type="dxa"/>
        <w:tblLayout w:type="fixed"/>
        <w:tblCellMar>
          <w:top w:w="28" w:type="dxa"/>
          <w:left w:w="28" w:type="dxa"/>
          <w:bottom w:w="28" w:type="dxa"/>
          <w:right w:w="28" w:type="dxa"/>
        </w:tblCellMar>
      </w:tblPr>
      <w:tblGrid>
        <w:gridCol w:w="4956"/>
        <w:gridCol w:w="4956"/>
      </w:tblGrid>
      <w:tr>
        <w:trPr/>
        <w:tc>
          <w:tcPr>
            <w:tcW w:w="4956" w:type="dxa"/>
            <w:tcBorders/>
            <w:vAlign w:val="center"/>
          </w:tcPr>
          <w:p>
            <w:pPr>
              <w:pStyle w:val="TableContents"/>
              <w:bidi w:val="0"/>
              <w:spacing w:before="0" w:after="0"/>
              <w:jc w:val="left"/>
              <w:rPr/>
            </w:pPr>
            <w:r>
              <w:rPr/>
              <w:t> </w:t>
            </w:r>
          </w:p>
          <w:tbl>
            <w:tblPr>
              <w:tblW w:w="4801" w:type="dxa"/>
              <w:jc w:val="left"/>
              <w:tblInd w:w="0" w:type="dxa"/>
              <w:tblLayout w:type="fixed"/>
              <w:tblCellMar>
                <w:top w:w="28" w:type="dxa"/>
                <w:left w:w="28" w:type="dxa"/>
                <w:bottom w:w="28" w:type="dxa"/>
                <w:right w:w="28" w:type="dxa"/>
              </w:tblCellMar>
            </w:tblPr>
            <w:tblGrid>
              <w:gridCol w:w="4801"/>
            </w:tblGrid>
            <w:tr>
              <w:trPr/>
              <w:tc>
                <w:tcPr>
                  <w:tcW w:w="4801" w:type="dxa"/>
                  <w:tcBorders/>
                  <w:vAlign w:val="center"/>
                </w:tcPr>
                <w:p>
                  <w:pPr>
                    <w:pStyle w:val="TableContents"/>
                    <w:bidi w:val="0"/>
                    <w:spacing w:before="0" w:after="0"/>
                    <w:jc w:val="left"/>
                    <w:rPr/>
                  </w:pPr>
                  <w:r>
                    <w:rPr/>
                    <w:t>Renaissance Technologies Holdings Corporation</w:t>
                  </w:r>
                </w:p>
              </w:tc>
            </w:tr>
          </w:tbl>
          <w:p>
            <w:pPr>
              <w:pStyle w:val="TableContents"/>
              <w:bidi w:val="0"/>
              <w:spacing w:before="0" w:after="283"/>
              <w:jc w:val="left"/>
              <w:rPr/>
            </w:pPr>
            <w:r>
              <w:rPr/>
            </w:r>
          </w:p>
        </w:tc>
        <w:tc>
          <w:tcPr>
            <w:tcW w:w="49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Brian Felczak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In accordance with Rule 13d-1(k) under the Securities Exchange Act of 1934, as amended, each of the undersigned agrees to the filing on behalf of each of a Statement on Schedule 13G, and all amendments thereto, with respect to the Class A Common Stock, $0.001 par value per share of TILLY'S, INC.</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1048</Words>
  <Characters>5402</Characters>
  <CharactersWithSpaces>6419</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