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2,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TILLY’S,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5767" w:type="dxa"/>
        <w:jc w:val="center"/>
        <w:tblInd w:w="0" w:type="dxa"/>
        <w:tblLayout w:type="fixed"/>
        <w:tblCellMar>
          <w:top w:w="28" w:type="dxa"/>
          <w:left w:w="28" w:type="dxa"/>
          <w:bottom w:w="28" w:type="dxa"/>
          <w:right w:w="28" w:type="dxa"/>
        </w:tblCellMar>
      </w:tblPr>
      <w:tblGrid>
        <w:gridCol w:w="591"/>
        <w:gridCol w:w="519"/>
        <w:gridCol w:w="525"/>
        <w:gridCol w:w="109"/>
        <w:gridCol w:w="109"/>
        <w:gridCol w:w="109"/>
        <w:gridCol w:w="612"/>
        <w:gridCol w:w="612"/>
        <w:gridCol w:w="620"/>
        <w:gridCol w:w="109"/>
        <w:gridCol w:w="109"/>
        <w:gridCol w:w="109"/>
        <w:gridCol w:w="477"/>
        <w:gridCol w:w="477"/>
        <w:gridCol w:w="680"/>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1-35535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45-2164791</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color w:val="000000"/>
                <w:sz w:val="15"/>
              </w:rPr>
            </w:pPr>
            <w:r>
              <w:rPr>
                <w:rFonts w:ascii="Times New Roman;serif" w:hAnsi="Times New Roman;serif"/>
                <w:b/>
                <w:color w:val="000000"/>
                <w:sz w:val="15"/>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Number)</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10 Whatney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Irvine, California 92618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(Address of Principal Executive Offices) (Zip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(949) 609-5599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(Registrant’s Telephone Number, Including Area Code)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78" w:type="dxa"/>
        <w:jc w:val="center"/>
        <w:tblInd w:w="0" w:type="dxa"/>
        <w:tblLayout w:type="fixed"/>
        <w:tblCellMar>
          <w:top w:w="28" w:type="dxa"/>
          <w:left w:w="28" w:type="dxa"/>
          <w:bottom w:w="28" w:type="dxa"/>
          <w:right w:w="28" w:type="dxa"/>
        </w:tblCellMar>
      </w:tblPr>
      <w:tblGrid>
        <w:gridCol w:w="1539"/>
        <w:gridCol w:w="1352"/>
        <w:gridCol w:w="1368"/>
        <w:gridCol w:w="564"/>
        <w:gridCol w:w="564"/>
        <w:gridCol w:w="566"/>
        <w:gridCol w:w="1118"/>
        <w:gridCol w:w="1118"/>
        <w:gridCol w:w="1589"/>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TLYS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2, 2026, Tilly's, Inc. (the "Company") issued an earnings press release for the second quarter ended August 1, 2026. The press release is furnished as Exhibit 99.1 and is incorporated herein by reference. The information furnished pursuant to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jc w:val="left"/>
        <w:rPr/>
      </w:pPr>
      <w:r>
        <w:rPr/>
      </w:r>
    </w:p>
    <w:tbl>
      <w:tblPr>
        <w:tblW w:w="4021" w:type="dxa"/>
        <w:jc w:val="left"/>
        <w:tblInd w:w="0" w:type="dxa"/>
        <w:tblLayout w:type="fixed"/>
        <w:tblCellMar>
          <w:top w:w="28" w:type="dxa"/>
          <w:left w:w="28" w:type="dxa"/>
          <w:bottom w:w="28" w:type="dxa"/>
          <w:right w:w="28" w:type="dxa"/>
        </w:tblCellMar>
      </w:tblPr>
      <w:tblGrid>
        <w:gridCol w:w="332"/>
        <w:gridCol w:w="291"/>
        <w:gridCol w:w="293"/>
        <w:gridCol w:w="909"/>
        <w:gridCol w:w="909"/>
        <w:gridCol w:w="1287"/>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color w:val="000000"/>
                <w:sz w:val="20"/>
              </w:rPr>
            </w:pPr>
            <w:r>
              <w:rPr>
                <w:rFonts w:ascii="Times New Roman;serif" w:hAnsi="Times New Roman;serif"/>
                <w:b/>
                <w:color w:val="000000"/>
                <w:sz w:val="20"/>
              </w:rPr>
              <w:t>Item 9.01</w:t>
            </w:r>
          </w:p>
        </w:tc>
        <w:tc>
          <w:tcPr>
            <w:tcW w:w="31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Financials Statements and Exhibits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being furnished herewith.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08" w:type="dxa"/>
        <w:jc w:val="left"/>
        <w:tblInd w:w="0" w:type="dxa"/>
        <w:tblLayout w:type="fixed"/>
        <w:tblCellMar>
          <w:top w:w="28" w:type="dxa"/>
          <w:left w:w="28" w:type="dxa"/>
          <w:bottom w:w="28" w:type="dxa"/>
          <w:right w:w="28" w:type="dxa"/>
        </w:tblCellMar>
      </w:tblPr>
      <w:tblGrid>
        <w:gridCol w:w="385"/>
        <w:gridCol w:w="338"/>
        <w:gridCol w:w="341"/>
        <w:gridCol w:w="1946"/>
        <w:gridCol w:w="1946"/>
        <w:gridCol w:w="275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Title or 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fy2026earningsrelease.htm">
              <w:r>
                <w:rPr>
                  <w:rStyle w:val="InternetLink"/>
                  <w:rFonts w:ascii="Times New Roman;serif" w:hAnsi="Times New Roman;serif"/>
                  <w:b w:val="false"/>
                  <w:color w:val="0000FF"/>
                  <w:sz w:val="20"/>
                  <w:u w:val="single"/>
                </w:rPr>
                <w:t>Press Release of Tilly's, Inc., dated September 2,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003" w:type="dxa"/>
        <w:jc w:val="left"/>
        <w:tblInd w:w="0" w:type="dxa"/>
        <w:tblLayout w:type="fixed"/>
        <w:tblCellMar>
          <w:top w:w="28" w:type="dxa"/>
          <w:left w:w="28" w:type="dxa"/>
          <w:bottom w:w="28" w:type="dxa"/>
          <w:right w:w="28" w:type="dxa"/>
        </w:tblCellMar>
      </w:tblPr>
      <w:tblGrid>
        <w:gridCol w:w="764"/>
        <w:gridCol w:w="673"/>
        <w:gridCol w:w="677"/>
        <w:gridCol w:w="210"/>
        <w:gridCol w:w="210"/>
        <w:gridCol w:w="210"/>
        <w:gridCol w:w="1234"/>
        <w:gridCol w:w="1234"/>
        <w:gridCol w:w="179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6"/>
            <w:tcBorders/>
            <w:tcMar>
              <w:top w:w="0" w:type="dxa"/>
              <w:left w:w="0" w:type="dxa"/>
              <w:bottom w:w="0" w:type="dxa"/>
              <w:right w:w="0" w:type="dxa"/>
            </w:tcMar>
            <w:vAlign w:val="center"/>
          </w:tcPr>
          <w:p>
            <w:pPr>
              <w:pStyle w:val="TableContents"/>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TILLY’S,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Michael L. Henry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Michael L. Henry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Executive Vice President, Chief Financial Officer</w:t>
            </w:r>
          </w:p>
        </w:tc>
      </w:tr>
    </w:tbl>
    <w:p>
      <w:pPr>
        <w:pStyle w:val="TextBody"/>
        <w:bidi w:val="0"/>
        <w:spacing w:before="0" w:after="200"/>
        <w:jc w:val="left"/>
        <w:rPr/>
      </w:pPr>
      <w:r>
        <w:rPr/>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center"/>
        <w:rPr/>
      </w:pPr>
      <w:r>
        <w:rPr/>
        <w:drawing>
          <wp:inline distT="0" distB="0" distL="0" distR="0">
            <wp:extent cx="22955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95525" cy="361950"/>
                    </a:xfrm>
                    <a:prstGeom prst="rect">
                      <a:avLst/>
                    </a:prstGeom>
                  </pic:spPr>
                </pic:pic>
              </a:graphicData>
            </a:graphic>
          </wp:inline>
        </w:drawing>
      </w:r>
      <w:r>
        <w:rPr>
          <w:color w:val="000000"/>
        </w:rPr>
        <w:t xml:space="preserv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Tilly's, Inc. Beats Outlook, Reports Third Consecutive Quarter of Double-Digit Percentage Comp Sales Increases</w:t>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color w:val="000000"/>
          <w:sz w:val="22"/>
        </w:rPr>
        <w:t>Irvine, CA –September 2, 2026 –</w:t>
      </w:r>
      <w:r>
        <w:rPr>
          <w:color w:val="000000"/>
        </w:rPr>
        <w:t xml:space="preserve"> </w:t>
      </w:r>
      <w:r>
        <w:rPr>
          <w:rFonts w:ascii="Times New Roman;serif" w:hAnsi="Times New Roman;serif"/>
          <w:b w:val="false"/>
          <w:color w:val="000000"/>
          <w:sz w:val="22"/>
        </w:rPr>
        <w:t>Tilly’s, Inc. (NYSE: TLYS, the "Company") today announced financial results for the second quarter of fiscal 2026 ended August 1,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maintained our positive operating momentum throughout the second quarter and the important back-to-school season. We have now produced four consecutive quarters of year-over-year comparable net sales growth and, inclusive of fiscal August to start the third quarter, thirteen consecutive months of year-over-year comparable net sales growth. We also delivered our fifth consecutive quarter of year-over-year profit improvement in the second quarter," commented Nate Smith, President and Chief Executive Officer. "We are now profitable on a trailing four quarters basis and on a year-to-date basis for fiscal 2026. Based on our year-to-date performance and assuming our positive momentum continues, we believe we are well positioned to produce our first profitable fiscal year since 2022."</w:t>
      </w:r>
    </w:p>
    <w:p>
      <w:pPr>
        <w:pStyle w:val="TextBody"/>
        <w:bidi w:val="0"/>
        <w:spacing w:lineRule="auto" w:line="268" w:before="120" w:after="283"/>
        <w:jc w:val="left"/>
        <w:rPr>
          <w:rFonts w:ascii="Times New Roman;serif" w:hAnsi="Times New Roman;serif"/>
          <w:b/>
          <w:color w:val="000000"/>
          <w:sz w:val="22"/>
        </w:rPr>
      </w:pPr>
      <w:r>
        <w:rPr>
          <w:rFonts w:ascii="Times New Roman;serif" w:hAnsi="Times New Roman;serif"/>
          <w:b/>
          <w:color w:val="000000"/>
          <w:sz w:val="22"/>
        </w:rPr>
        <w:t>Operating Results Overview</w:t>
      </w:r>
    </w:p>
    <w:p>
      <w:pPr>
        <w:pStyle w:val="TextBody"/>
        <w:bidi w:val="0"/>
        <w:spacing w:lineRule="auto" w:line="268" w:before="12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Fiscal 2026 Second Quarter Compared to Fiscal 2025 Second Quarter</w:t>
      </w:r>
    </w:p>
    <w:p>
      <w:pPr>
        <w:pStyle w:val="TextBody"/>
        <w:bidi w:val="0"/>
        <w:spacing w:lineRule="auto" w:line="268" w:before="120" w:after="120"/>
        <w:jc w:val="left"/>
        <w:rPr>
          <w:rFonts w:ascii="Times New Roman;serif" w:hAnsi="Times New Roman;serif"/>
          <w:b w:val="false"/>
          <w:color w:val="000000"/>
          <w:sz w:val="22"/>
        </w:rPr>
      </w:pPr>
      <w:r>
        <w:rPr>
          <w:rFonts w:ascii="Times New Roman;serif" w:hAnsi="Times New Roman;serif"/>
          <w:b w:val="false"/>
          <w:color w:val="000000"/>
          <w:sz w:val="22"/>
        </w:rPr>
        <w:t>The following comparisons refer to the Company's operating results for the second quarter of fiscal 2026 ended August 1, 2026 versus the second quarter of fiscal 2025 ended August 2,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Total net sales were $163.5 million, an increase of 8.1%. Total comparable net sales, including both physical stores and e-commerce ("e-com"), increased by 12.1%.</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Net sales from physical stores were $129.0 million, an increase of 5.1%. The Company ended the second quarter with 220 total stores, a decrease of 12 stores or 5.2%, compared to 232 total stores at the end of the second quarter last year. Comparable net sales from physical stores increased by 10.3% relative to the comparable 13-week period ended August 2, 2025. Net sales from physical stores represented 78.9% of total net sales this year compared to 81.1% of total net sales last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Net sales from e-com were $34.5 million, an increase of 20.9%. E-com net sales represented 21.1% of total net sales this year compared to 18.9% of total net sales last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Gross profit, including buying, distribution, and occupancy costs, was $58.1 million, or 35.5% of net sales, an improvement of $9.0 million or 300 basis points as a percentage of net sales compared to $49.1 million, or 32.5% of net sales, last year. Product margins improved by 140 basis points as a percentage of net sales, marking the Company's seventh consecutive quarter with year-over-year product margin improvement. Buying, distribution, and occupancy costs improved by 160 basis points as a percentage of net sales due to carrying these costs against higher net sales this year. Lower occupancy costs primarily associated with our reduced store count were largely offset by higher e-com shipping expenses associated with e-com net sales growth.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Selling, general and administrative ("SG&amp;A") expenses were $49.9 million, or 30.5% of net sales, compared to $46.4 million, or 30.7% of net sales, last year. The $3.5 million increase in SG&amp;A was primarily attributable to incentive bonus accruals of $1.5 million associated with achieving improved operating performance, marketing expenses of $0.8 million, and store payroll and related benefits of $0.6 million. SG&amp;A expenses improved by 20 basis points as a percentage of net sales due to carrying these expenses against higher net sales this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Operating income improved to $8.2 million, or 5.0% of net sales, compared to $2.7 million, or 1.8% of net sales, last year, due to the combined impact of the factors noted above.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4960"/>
                <wp:effectExtent l="0" t="0" r="0" b="0"/>
                <wp:wrapNone/>
                <wp:docPr id="5" name="Frame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Income tax expense was $0.1 million, or 1.0% of pre-tax income, compared to an income tax benefit of $41 thousand, or (1.3)% of pre-tax income, last year. Both periods include the continuing impact of a full, non-cash deferred tax asset valuation allowance.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Net income was $8.4 million, or $0.27 per diluted share, an improvement of $5.2 million or $0.17 per diluted share, compared to $3.2 million, or $0.10 per diluted share, last year. Weighted average diluted shares were 31.2 million this year compared to 30.3 million diluted shares last year.</w:t>
      </w:r>
    </w:p>
    <w:p>
      <w:pPr>
        <w:pStyle w:val="TextBody"/>
        <w:bidi w:val="0"/>
        <w:spacing w:lineRule="auto" w:line="268" w:before="120" w:after="1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Fiscal 2026 First Half Compared to Fiscal 2025 First Half</w:t>
      </w:r>
    </w:p>
    <w:p>
      <w:pPr>
        <w:pStyle w:val="TextBody"/>
        <w:bidi w:val="0"/>
        <w:spacing w:lineRule="auto" w:line="268" w:before="120" w:after="120"/>
        <w:jc w:val="left"/>
        <w:rPr>
          <w:rFonts w:ascii="Times New Roman;serif" w:hAnsi="Times New Roman;serif"/>
          <w:b w:val="false"/>
          <w:color w:val="000000"/>
          <w:sz w:val="22"/>
        </w:rPr>
      </w:pPr>
      <w:r>
        <w:rPr>
          <w:rFonts w:ascii="Times New Roman;serif" w:hAnsi="Times New Roman;serif"/>
          <w:b w:val="false"/>
          <w:color w:val="000000"/>
          <w:sz w:val="22"/>
        </w:rPr>
        <w:t>The following comparisons refer to the Company's operating results for the first half of fiscal 2026 ended August 1, 2026 versus the first half of fiscal 2025 ended August 2, 2025.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Total net sales were $288.2 million, an increase of 11.3%. Total comparable net sales, including both physical stores and e-commerce ("e-com"), increased by 16.5%.</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Net sales from physical stores were $225.3 million, an increase of 8.0%. Comparable net sales from physical stores increased by 14.5% relative to the comparable 26-week period ended August 2, 2025. Net sales from physical stores represented 78.2% of total net sales this year compared to 80.6% of total net sales last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Net sales from e-com were $62.9 million, an increase of 25.2%. E-com net sales represented 21.8% of total net sales this year compared to 19.4% of total net sales last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Gross profit, including buying, distribution, and occupancy costs, was $94.2 million, or 32.7% of net sales, an improvement of $23.8 million or 550 basis points as a percentage of net sales compared to $70.4 million, or 27.2% of net sales, last year. Product margins improved by 240 basis points primarily due to improved full-price selling associated with operating with inventories that were more current in terms of aging compared to last year as well as improved average unit retail prices on aged, clearance items. Buying, distribution, and occupancy costs improved by 310 basis points due to carrying these costs against higher net sales this year. Lower occupancy costs largely associated with our reduced store count were partially offset by higher e-com shipping expenses associated with e-com net sales growth.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SG&amp;A expenses were $94.1 million, or 32.6% of net sales, compared to $90.4 million, or 34.9% of net sales, last year. The $3.7 million increase in SG&amp;A was primarily attributable to incentive bonus accruals of $1.9 million associated with achieving improved operating performance, marketing expenses of $1.4 million, and store payroll and related benefits of $1.1 million. These increases were partially offset by a decrease in non-cash store asset impairment charges of $1.1 million. SG&amp;A expenses improved by 230 basis points as a percentage of net sales due to carrying these expenses against higher net sales this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Operating income was $75 thousand, or 0.0% of net sales, an improvement of $20.1 million compared to an operating loss of $(20.0) million, or (7.7)% of net sales, last year, due to the combined impact of the factors noted above.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 xml:space="preserve">Income tax expense was $0.2 million, or 34.3% of pre-tax income, compared to an income tax benefit of $0.2 million, or 0.9% of pre-tax loss, last year. The effective tax rate for the current period exceeded the combined federal and state statutory tax rate primarily due to state tax true-up adjustments, the impact of tax rate changes, and changes in the valuation allowance.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Net income was $0.4 million, or $0.01 per diluted share, an improvement of $19.4 million or $0.64 per diluted share, compared to a net loss of $(19.0) million, or $(0.63) per share, last year. Weighted average diluted shares were 30.8 million this year compared to 30.1 million shares last year.</w:t>
      </w:r>
    </w:p>
    <w:p>
      <w:pPr>
        <w:pStyle w:val="TextBody"/>
        <w:bidi w:val="0"/>
        <w:spacing w:lineRule="auto" w:line="268" w:before="120" w:after="120"/>
        <w:jc w:val="left"/>
        <w:rPr>
          <w:rFonts w:ascii="Times New Roman;serif" w:hAnsi="Times New Roman;serif"/>
          <w:b/>
          <w:color w:val="000000"/>
          <w:sz w:val="22"/>
        </w:rPr>
      </w:pPr>
      <w:r>
        <w:rPr>
          <w:rFonts w:ascii="Times New Roman;serif" w:hAnsi="Times New Roman;serif"/>
          <w:b/>
          <w:color w:val="000000"/>
          <w:sz w:val="22"/>
        </w:rPr>
        <w:t>Balance Sheet and Liquidity</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As of August 1, 2026, the Company had total available liquidity of $125.5 million, comprised of $62.2 million of cash, cash equivalents, and marketable securities and $63.3 million of available, undrawn borrowing capacity under its asset-backed credit facility. Total cash and cash equivalents were $50.7 million at August 2, 2025. Total inventories decreased by 1.3% compared to the end of the second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4960"/>
                <wp:effectExtent l="0" t="0" r="0" b="0"/>
                <wp:wrapNone/>
                <wp:docPr id="6" name="Frame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quarter last year. Total year-to-date capital expenditures at the end of the second quarter were $2.8 million this year compared to $2.1 million at the end of the second quarter of fiscal 2025.</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Fiscal 2026 Third Quarter Outlook</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Total comparable net sales for fiscal August ended August 29, 2026 increased by 14.6% relative to the comparable period of fiscal 2025, marking the Company's 13th consecutive month of comparable net sales growth. Based on current and historical trends, the Company currently estimates the following for the third quarter of fiscal 2026 ending October 31,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Net sales in the range of approximately $150 million to $155 million, translating to an estimated comparable net sales increase of 10% to 14%, respectively, relative to last year's third quarter;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Product margins to be slightly improved compared to last year's third quarter;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SG&amp;A expenses to be approximately $47 million to $49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An estimated effective income tax rate in the low to mid-teens as a percentage of pre-tax income, with the continuing impact of a full, non-cash valuation allowance on deferred tax assets;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Net income of approximately $2.2 million to $3.7 million, respectively to net sales, and net income per diluted share of $0.07 to $0.12, respectively, based on approximately 32.0 million diluted shares. This compares to a net loss of $(1.4) million, or $(0.05) per share, during last year's third quarter. These results would represent a 6th consecutive quarter of year-over-year profit improvement for the Company.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The Company currently expects to have 220 stores open at the end of the third quarter of fiscal 2026 compared to 230 at the end of last year's third quarter.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The Company expects to end the third quarter with total liquidity of approximately $125 million or more, comprised of cash and investments of approximately $62 million to $65 million and available, undrawn borrowing capacity of approximately $63 million under its asset-back credit facility. </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120" w:after="283"/>
        <w:jc w:val="left"/>
        <w:rPr/>
      </w:pPr>
      <w:r>
        <w:rPr>
          <w:rFonts w:ascii="Times New Roman;serif" w:hAnsi="Times New Roman;serif"/>
          <w:b w:val="false"/>
          <w:color w:val="000000"/>
          <w:sz w:val="22"/>
        </w:rPr>
        <w:t xml:space="preserve">A conference call with analysts to discuss these financial results is scheduled for today, September 2, 2026, at 4:30 p.m. ET (1:30 p.m. PT). Analysts interested in participating in the call are invited to dial (877) 423-9813 (domestic) or (201) 689-8573 (international). The conference call will also be available to interested parties through a live webcast at </w:t>
      </w:r>
      <w:r>
        <w:rPr>
          <w:rFonts w:ascii="Times New Roman;serif" w:hAnsi="Times New Roman;serif"/>
          <w:b w:val="false"/>
          <w:color w:val="006EBF"/>
          <w:sz w:val="22"/>
          <w:u w:val="single"/>
        </w:rPr>
        <w:t>www.tillys.com</w:t>
      </w:r>
      <w:r>
        <w:rPr>
          <w:rFonts w:ascii="Times New Roman;serif" w:hAnsi="Times New Roman;serif"/>
          <w:b w:val="false"/>
          <w:color w:val="000000"/>
          <w:sz w:val="22"/>
        </w:rPr>
        <w:t>. Please visit the website and select the “Investor Relations” link at least 15 minutes prior to the start of the call to register and download any necessary software. A telephone replay of the call will be available until September 9, 2026, by dialing (</w:t>
      </w:r>
      <w:r>
        <w:rPr>
          <w:rFonts w:ascii="Times New Roman;serif" w:hAnsi="Times New Roman;serif"/>
          <w:b w:val="false"/>
          <w:color w:val="212121"/>
          <w:sz w:val="22"/>
        </w:rPr>
        <w:t>844) 512-2921</w:t>
      </w:r>
      <w:r>
        <w:rPr>
          <w:color w:val="000000"/>
        </w:rPr>
        <w:t xml:space="preserve"> </w:t>
      </w:r>
      <w:r>
        <w:rPr>
          <w:rFonts w:ascii="Times New Roman;serif" w:hAnsi="Times New Roman;serif"/>
          <w:b w:val="false"/>
          <w:color w:val="000000"/>
          <w:sz w:val="22"/>
        </w:rPr>
        <w:t>(domestic) or (41</w:t>
      </w:r>
      <w:r>
        <w:rPr>
          <w:rFonts w:ascii="Times New Roman;serif" w:hAnsi="Times New Roman;serif"/>
          <w:b w:val="false"/>
          <w:color w:val="212121"/>
          <w:sz w:val="22"/>
        </w:rPr>
        <w:t>2) 317-6671</w:t>
      </w:r>
      <w:r>
        <w:rPr>
          <w:color w:val="000000"/>
        </w:rPr>
        <w:t xml:space="preserve"> </w:t>
      </w:r>
      <w:r>
        <w:rPr>
          <w:rFonts w:ascii="Times New Roman;serif" w:hAnsi="Times New Roman;serif"/>
          <w:b w:val="false"/>
          <w:color w:val="000000"/>
          <w:sz w:val="22"/>
        </w:rPr>
        <w:t>(international) and entering the conference identification number:</w:t>
      </w:r>
      <w:r>
        <w:rPr>
          <w:color w:val="212121"/>
        </w:rPr>
        <w:t xml:space="preserve"> </w:t>
      </w:r>
      <w:r>
        <w:rPr>
          <w:rFonts w:ascii="Times New Roman;serif" w:hAnsi="Times New Roman;serif"/>
          <w:b w:val="false"/>
          <w:color w:val="212121"/>
          <w:sz w:val="22"/>
        </w:rPr>
        <w:t>13762136</w:t>
      </w:r>
      <w:r>
        <w:rPr>
          <w:rFonts w:ascii="Times New Roman;serif" w:hAnsi="Times New Roman;serif"/>
          <w:b w:val="false"/>
          <w:color w:val="000000"/>
          <w:sz w:val="22"/>
        </w:rPr>
        <w:t>.</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About Tillys</w:t>
      </w:r>
    </w:p>
    <w:p>
      <w:pPr>
        <w:pStyle w:val="TextBody"/>
        <w:bidi w:val="0"/>
        <w:spacing w:lineRule="auto" w:line="288" w:before="0" w:after="120"/>
        <w:jc w:val="left"/>
        <w:rPr/>
      </w:pPr>
      <w:r>
        <w:rPr>
          <w:rFonts w:ascii="Times New Roman;serif" w:hAnsi="Times New Roman;serif"/>
          <w:b w:val="false"/>
          <w:color w:val="000000"/>
          <w:sz w:val="22"/>
        </w:rPr>
        <w:t xml:space="preserve">Tillys is a destination specialty retailer of casual apparel, footwear, and accessories for young men, young women, boys and girls with an extensive selection of iconic global, emerging, and proprietary brands rooted in an active, outdoor and social lifestyle. Tillys is headquartered in Irvine, California and currently operates 221 total stores across 32 states, as well as its website, </w:t>
      </w:r>
      <w:r>
        <w:rPr>
          <w:rFonts w:ascii="Times New Roman;serif" w:hAnsi="Times New Roman;serif"/>
          <w:b w:val="false"/>
          <w:color w:val="006EBF"/>
          <w:sz w:val="22"/>
          <w:u w:val="single"/>
        </w:rPr>
        <w:t>www.tillys.com</w:t>
      </w:r>
      <w:r>
        <w:rPr>
          <w:rFonts w:ascii="Times New Roman;serif" w:hAnsi="Times New Roman;serif"/>
          <w:b w:val="false"/>
          <w:color w:val="000000"/>
          <w:sz w:val="22"/>
        </w:rPr>
        <w:t>.</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press release are forward-looking statements within the meaning of the Private Securities Litigation Reform Act of 1995. In particular, statements regarding our current operating expectations in light of historical results, the improvement in our comparable net sales trend and our ability to maintain or improve upon it, the impacts of inflation, tariffs, and potential recession on us and our customers, including on our future financial condition or operating results, expectations regarding changes in the macro-economic environment, customer traffic, our supply chain, our ability to properly manage our inventory levels, and any other statements about our future cash position, financial flexibility, expectations, plans, intentions, beliefs or prospects expressed by management are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4960"/>
                <wp:effectExtent l="0" t="0" r="0" b="0"/>
                <wp:wrapNone/>
                <wp:docPr id="7" name="Frame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2"/>
        </w:rPr>
        <w:t xml:space="preserve">statements. These forward-looking statements are based on management’s current expectations and beliefs, but they involve a number of risks and uncertainties that could cause actual results or events to differ materially from those indicated by such forward-looking statements, including, but not limited to the impact of inflation on consumer behavior and our business and operations, supply chain difficulties, and our ability to respond thereto, our ability to respond to changing customer preferences and trends, attract customer traffic at our stores and online, execute our growth and long-term strategies, expand into new markets, grow our e-commerce business, effectively manage our inventory and costs, effectively compete with other retailers, attract talented employees, or enhance awareness of our brand and brand image, general consumer spending patterns and levels, including changes in historical spending patterns, the markets generally, our ability to satisfy our financial obligations, including under our credit facility and our leases, and other factors that are detailed in our Annual Report on Form 10-K, filed with the Securities and Exchange Commission (“SEC”), including those detailed in the section titled “Risk Factors” and in our other filings with the SEC, which are available on the SEC’s website at </w:t>
      </w:r>
      <w:r>
        <w:rPr>
          <w:rFonts w:ascii="Times New Roman;serif" w:hAnsi="Times New Roman;serif"/>
          <w:b w:val="false"/>
          <w:color w:val="006EBF"/>
          <w:sz w:val="22"/>
          <w:u w:val="single"/>
        </w:rPr>
        <w:t>www.sec.gov</w:t>
      </w:r>
      <w:r>
        <w:rPr>
          <w:color w:val="000000"/>
        </w:rPr>
        <w:t xml:space="preserve"> </w:t>
      </w:r>
      <w:r>
        <w:rPr>
          <w:rFonts w:ascii="Times New Roman;serif" w:hAnsi="Times New Roman;serif"/>
          <w:b w:val="false"/>
          <w:color w:val="000000"/>
          <w:sz w:val="22"/>
        </w:rPr>
        <w:t xml:space="preserve">and on our website at </w:t>
      </w:r>
      <w:r>
        <w:rPr>
          <w:rFonts w:ascii="Times New Roman;serif" w:hAnsi="Times New Roman;serif"/>
          <w:b w:val="false"/>
          <w:color w:val="006EBF"/>
          <w:sz w:val="22"/>
          <w:u w:val="single"/>
        </w:rPr>
        <w:t>www.tillys.com</w:t>
      </w:r>
      <w:r>
        <w:rPr>
          <w:color w:val="000000"/>
        </w:rPr>
        <w:t xml:space="preserve"> </w:t>
      </w:r>
      <w:r>
        <w:rPr>
          <w:rFonts w:ascii="Times New Roman;serif" w:hAnsi="Times New Roman;serif"/>
          <w:b w:val="false"/>
          <w:color w:val="000000"/>
          <w:sz w:val="22"/>
        </w:rPr>
        <w:t>under the heading “Investor Relations”. Readers are urged not to place undue reliance on these forward-looking statements, which speak only as of the date of this press release. We do not undertake any obligation to update or alter any forward-looking statements, whether as a result of new information, future events or otherwise. This release should be read in conjunction with our financial statements and notes thereto contained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4960"/>
                <wp:effectExtent l="0" t="0" r="0" b="0"/>
                <wp:wrapNone/>
                <wp:docPr id="8" name="Frame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color w:val="000000"/>
          <w:sz w:val="24"/>
        </w:rPr>
      </w:pPr>
      <w:r>
        <w:rPr>
          <w:rFonts w:ascii="Times New Roman;serif" w:hAnsi="Times New Roman;serif"/>
          <w:b/>
          <w:color w:val="000000"/>
          <w:sz w:val="24"/>
        </w:rPr>
        <w:t>Tilly’s, Inc.</w:t>
      </w:r>
    </w:p>
    <w:p>
      <w:pPr>
        <w:pStyle w:val="TextBody"/>
        <w:bidi w:val="0"/>
        <w:spacing w:lineRule="auto" w:line="288" w:before="0" w:after="0"/>
        <w:ind w:left="0" w:right="0" w:hanging="72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ind w:left="0" w:right="0" w:hanging="720"/>
        <w:jc w:val="center"/>
        <w:rPr>
          <w:rFonts w:ascii="Times New Roman;serif" w:hAnsi="Times New Roman;serif"/>
          <w:b w:val="false"/>
          <w:color w:val="000000"/>
          <w:sz w:val="24"/>
        </w:rPr>
      </w:pPr>
      <w:r>
        <w:rPr>
          <w:rFonts w:ascii="Times New Roman;serif" w:hAnsi="Times New Roman;serif"/>
          <w:b w:val="false"/>
          <w:color w:val="000000"/>
          <w:sz w:val="24"/>
        </w:rPr>
        <w:t>(In thousands, except par value)</w:t>
      </w:r>
    </w:p>
    <w:p>
      <w:pPr>
        <w:pStyle w:val="TextBody"/>
        <w:bidi w:val="0"/>
        <w:spacing w:lineRule="auto" w:line="288" w:before="0" w:after="0"/>
        <w:ind w:left="0" w:right="0" w:hanging="72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8730" w:type="dxa"/>
        <w:jc w:val="center"/>
        <w:tblInd w:w="0" w:type="dxa"/>
        <w:tblLayout w:type="fixed"/>
        <w:tblCellMar>
          <w:top w:w="28" w:type="dxa"/>
          <w:left w:w="28" w:type="dxa"/>
          <w:bottom w:w="28" w:type="dxa"/>
          <w:right w:w="28" w:type="dxa"/>
        </w:tblCellMar>
      </w:tblPr>
      <w:tblGrid>
        <w:gridCol w:w="1724"/>
        <w:gridCol w:w="1511"/>
        <w:gridCol w:w="1519"/>
        <w:gridCol w:w="196"/>
        <w:gridCol w:w="751"/>
        <w:gridCol w:w="109"/>
        <w:gridCol w:w="109"/>
        <w:gridCol w:w="109"/>
        <w:gridCol w:w="109"/>
        <w:gridCol w:w="196"/>
        <w:gridCol w:w="751"/>
        <w:gridCol w:w="109"/>
        <w:gridCol w:w="109"/>
        <w:gridCol w:w="109"/>
        <w:gridCol w:w="109"/>
        <w:gridCol w:w="196"/>
        <w:gridCol w:w="751"/>
        <w:gridCol w:w="10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Merchandise 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161,918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150,570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310,760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345,531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 related party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operating lease liabilities, related party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120,475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(Class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(Class 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347,147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310,760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345,531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4960"/>
                <wp:effectExtent l="0" t="0" r="0" b="0"/>
                <wp:wrapNone/>
                <wp:docPr id="9" name="Frame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080"/>
        <w:jc w:val="center"/>
        <w:rPr>
          <w:rFonts w:ascii="Times New Roman;serif" w:hAnsi="Times New Roman;serif"/>
          <w:b/>
          <w:color w:val="000000"/>
          <w:sz w:val="24"/>
        </w:rPr>
      </w:pPr>
      <w:r>
        <w:rPr>
          <w:rFonts w:ascii="Times New Roman;serif" w:hAnsi="Times New Roman;serif"/>
          <w:b/>
          <w:color w:val="000000"/>
          <w:sz w:val="24"/>
        </w:rPr>
        <w:t>Tilly’s, Inc.</w:t>
      </w:r>
    </w:p>
    <w:p>
      <w:pPr>
        <w:pStyle w:val="TextBody"/>
        <w:bidi w:val="0"/>
        <w:spacing w:lineRule="auto" w:line="288" w:before="0" w:after="0"/>
        <w:ind w:left="0" w:right="0" w:hanging="1080"/>
        <w:jc w:val="center"/>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extBody"/>
        <w:bidi w:val="0"/>
        <w:spacing w:lineRule="auto" w:line="288" w:before="0" w:after="0"/>
        <w:ind w:left="0" w:right="0" w:hanging="1080"/>
        <w:jc w:val="center"/>
        <w:rPr>
          <w:rFonts w:ascii="Times New Roman;serif" w:hAnsi="Times New Roman;serif"/>
          <w:b w:val="false"/>
          <w:color w:val="000000"/>
          <w:sz w:val="24"/>
        </w:rPr>
      </w:pPr>
      <w:r>
        <w:rPr>
          <w:rFonts w:ascii="Times New Roman;serif" w:hAnsi="Times New Roman;serif"/>
          <w:b w:val="false"/>
          <w:color w:val="000000"/>
          <w:sz w:val="24"/>
        </w:rPr>
        <w:t>(In thousands, except per share data)</w:t>
      </w:r>
    </w:p>
    <w:p>
      <w:pPr>
        <w:pStyle w:val="TextBody"/>
        <w:bidi w:val="0"/>
        <w:spacing w:lineRule="auto" w:line="288" w:before="0" w:after="0"/>
        <w:ind w:left="0" w:right="0" w:hanging="108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689"/>
        <w:gridCol w:w="1357"/>
        <w:gridCol w:w="13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55"/>
      </w:tblGrid>
      <w:tr>
        <w:trPr/>
        <w:tc>
          <w:tcPr>
            <w:tcW w:w="168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(includes buying, distribution, and occupancy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 (includes buying, distribution, and occupancy costs)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49,102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Class A and Class B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of Class A and 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ind w:left="0" w:right="0" w:hanging="10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4960"/>
                <wp:effectExtent l="0" t="0" r="0" b="0"/>
                <wp:wrapNone/>
                <wp:docPr id="10" name="Frame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080"/>
        <w:jc w:val="center"/>
        <w:rPr>
          <w:rFonts w:ascii="Times New Roman;serif" w:hAnsi="Times New Roman;serif"/>
          <w:b/>
          <w:color w:val="000000"/>
          <w:sz w:val="24"/>
        </w:rPr>
      </w:pPr>
      <w:r>
        <w:rPr>
          <w:rFonts w:ascii="Times New Roman;serif" w:hAnsi="Times New Roman;serif"/>
          <w:b/>
          <w:color w:val="000000"/>
          <w:sz w:val="24"/>
        </w:rPr>
        <w:t>Tilly’s, Inc.</w:t>
      </w:r>
    </w:p>
    <w:p>
      <w:pPr>
        <w:pStyle w:val="TextBody"/>
        <w:bidi w:val="0"/>
        <w:spacing w:lineRule="auto" w:line="288" w:before="0" w:after="0"/>
        <w:ind w:left="0" w:right="0" w:hanging="108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288" w:before="0" w:after="0"/>
        <w:ind w:left="0" w:right="0" w:hanging="1080"/>
        <w:jc w:val="center"/>
        <w:rPr>
          <w:rFonts w:ascii="Times New Roman;serif" w:hAnsi="Times New Roman;serif"/>
          <w:b w:val="false"/>
          <w:color w:val="000000"/>
          <w:sz w:val="24"/>
        </w:rPr>
      </w:pPr>
      <w:r>
        <w:rPr>
          <w:rFonts w:ascii="Times New Roman;serif" w:hAnsi="Times New Roman;serif"/>
          <w:b w:val="false"/>
          <w:color w:val="000000"/>
          <w:sz w:val="24"/>
        </w:rPr>
        <w:t>(In thousands)</w:t>
      </w:r>
    </w:p>
    <w:p>
      <w:pPr>
        <w:pStyle w:val="TextBody"/>
        <w:bidi w:val="0"/>
        <w:spacing w:lineRule="auto" w:line="288" w:before="0" w:after="0"/>
        <w:ind w:left="0" w:right="0" w:hanging="108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9962" w:type="dxa"/>
        <w:jc w:val="center"/>
        <w:tblInd w:w="0" w:type="dxa"/>
        <w:tblLayout w:type="fixed"/>
        <w:tblCellMar>
          <w:top w:w="28" w:type="dxa"/>
          <w:left w:w="28" w:type="dxa"/>
          <w:bottom w:w="28" w:type="dxa"/>
          <w:right w:w="28" w:type="dxa"/>
        </w:tblCellMar>
      </w:tblPr>
      <w:tblGrid>
        <w:gridCol w:w="2602"/>
        <w:gridCol w:w="2291"/>
        <w:gridCol w:w="2307"/>
        <w:gridCol w:w="211"/>
        <w:gridCol w:w="736"/>
        <w:gridCol w:w="109"/>
        <w:gridCol w:w="109"/>
        <w:gridCol w:w="109"/>
        <w:gridCol w:w="109"/>
        <w:gridCol w:w="211"/>
        <w:gridCol w:w="796"/>
        <w:gridCol w:w="109"/>
        <w:gridCol w:w="109"/>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maturities of 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spacing w:before="0" w:after="0"/>
        <w:ind w:left="0" w:right="0" w:hanging="1080"/>
        <w:jc w:val="center"/>
        <w:rPr/>
      </w:pPr>
      <w:r>
        <w:rPr/>
      </w:r>
    </w:p>
    <w:p>
      <w:pPr>
        <w:pStyle w:val="TextBody"/>
        <w:bidi w:val="0"/>
        <w:ind w:left="0" w:right="0" w:hanging="10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4960"/>
                <wp:effectExtent l="0" t="0" r="0" b="0"/>
                <wp:wrapNone/>
                <wp:docPr id="11" name="Frame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1080"/>
        <w:jc w:val="center"/>
        <w:rPr/>
      </w:pPr>
      <w:r>
        <w:rPr/>
      </w:r>
    </w:p>
    <w:p>
      <w:pPr>
        <w:pStyle w:val="TextBody"/>
        <w:bidi w:val="0"/>
        <w:spacing w:lineRule="auto" w:line="288" w:before="0" w:after="0"/>
        <w:ind w:left="0" w:right="0" w:hanging="1080"/>
        <w:jc w:val="center"/>
        <w:rPr>
          <w:rFonts w:ascii="Times New Roman;serif" w:hAnsi="Times New Roman;serif"/>
          <w:b/>
          <w:color w:val="000000"/>
          <w:sz w:val="24"/>
        </w:rPr>
      </w:pPr>
      <w:r>
        <w:rPr>
          <w:rFonts w:ascii="Times New Roman;serif" w:hAnsi="Times New Roman;serif"/>
          <w:b/>
          <w:color w:val="000000"/>
          <w:sz w:val="24"/>
        </w:rPr>
        <w:t>Tilly's, Inc.</w:t>
      </w:r>
    </w:p>
    <w:p>
      <w:pPr>
        <w:pStyle w:val="TextBody"/>
        <w:bidi w:val="0"/>
        <w:spacing w:lineRule="auto" w:line="288" w:before="0" w:after="0"/>
        <w:ind w:left="0" w:right="0" w:hanging="1080"/>
        <w:jc w:val="center"/>
        <w:rPr>
          <w:rFonts w:ascii="Times New Roman;serif" w:hAnsi="Times New Roman;serif"/>
          <w:b/>
          <w:color w:val="000000"/>
          <w:sz w:val="24"/>
        </w:rPr>
      </w:pPr>
      <w:r>
        <w:rPr>
          <w:rFonts w:ascii="Times New Roman;serif" w:hAnsi="Times New Roman;serif"/>
          <w:b/>
          <w:color w:val="000000"/>
          <w:sz w:val="24"/>
        </w:rPr>
        <w:t>Store Count and Square Footage</w:t>
      </w:r>
    </w:p>
    <w:p>
      <w:pPr>
        <w:pStyle w:val="TextBody"/>
        <w:bidi w:val="0"/>
        <w:spacing w:before="0" w:after="0"/>
        <w:ind w:left="0" w:right="0" w:hanging="1080"/>
        <w:jc w:val="center"/>
        <w:rPr/>
      </w:pPr>
      <w:r>
        <w:rPr/>
      </w:r>
    </w:p>
    <w:tbl>
      <w:tblPr>
        <w:tblW w:w="10205" w:type="dxa"/>
        <w:jc w:val="center"/>
        <w:tblInd w:w="0" w:type="dxa"/>
        <w:tblLayout w:type="fixed"/>
        <w:tblCellMar>
          <w:top w:w="28" w:type="dxa"/>
          <w:left w:w="28" w:type="dxa"/>
          <w:bottom w:w="28" w:type="dxa"/>
          <w:right w:w="28" w:type="dxa"/>
        </w:tblCellMar>
      </w:tblPr>
      <w:tblGrid>
        <w:gridCol w:w="297"/>
        <w:gridCol w:w="261"/>
        <w:gridCol w:w="262"/>
        <w:gridCol w:w="635"/>
        <w:gridCol w:w="635"/>
        <w:gridCol w:w="637"/>
        <w:gridCol w:w="109"/>
        <w:gridCol w:w="109"/>
        <w:gridCol w:w="109"/>
        <w:gridCol w:w="466"/>
        <w:gridCol w:w="466"/>
        <w:gridCol w:w="468"/>
        <w:gridCol w:w="109"/>
        <w:gridCol w:w="109"/>
        <w:gridCol w:w="109"/>
        <w:gridCol w:w="621"/>
        <w:gridCol w:w="621"/>
        <w:gridCol w:w="623"/>
        <w:gridCol w:w="109"/>
        <w:gridCol w:w="109"/>
        <w:gridCol w:w="109"/>
        <w:gridCol w:w="466"/>
        <w:gridCol w:w="466"/>
        <w:gridCol w:w="468"/>
        <w:gridCol w:w="109"/>
        <w:gridCol w:w="109"/>
        <w:gridCol w:w="109"/>
        <w:gridCol w:w="438"/>
        <w:gridCol w:w="438"/>
        <w:gridCol w:w="629"/>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w:t>
              <w:br/>
              <w:t> Count at</w:t>
              <w:br/>
              <w:t> Beginning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Stores</w:t>
              <w:br/>
              <w:t> Opened</w:t>
              <w:br/>
              <w:t>During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Stores</w:t>
              <w:br/>
              <w:t xml:space="preserve"> Permanently Closed </w:t>
              <w:br/>
              <w:t>During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 Count at</w:t>
              <w:br/>
              <w:t> 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Gross</w:t>
              <w:br/>
              <w:t> Square Footage</w:t>
              <w:br/>
              <w:t> End of Quarter</w:t>
              <w:br/>
              <w:t> (in thousands)</w:t>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Q1</w:t>
            </w:r>
          </w:p>
        </w:tc>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1,707</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Q2</w:t>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1,657</w:t>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Q3</w:t>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1,642</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Q4</w:t>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1,593</w:t>
            </w:r>
          </w:p>
        </w:tc>
      </w:tr>
      <w:tr>
        <w:trPr/>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Q1</w:t>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1,568</w:t>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Q2</w:t>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1,569</w:t>
            </w:r>
          </w:p>
        </w:tc>
      </w:tr>
      <w:tr>
        <w:trPr/>
        <w:tc>
          <w:tcPr>
            <w:tcW w:w="820"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24" w:before="0" w:after="0"/>
        <w:jc w:val="left"/>
        <w:rPr/>
      </w:pPr>
      <w:r>
        <w:rPr>
          <w:rFonts w:ascii="Times New Roman;serif" w:hAnsi="Times New Roman;serif"/>
          <w:b w:val="false"/>
          <w:color w:val="000000"/>
          <w:sz w:val="20"/>
          <w:u w:val="single"/>
        </w:rPr>
        <w:t>Investor Relations Contact</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L. Henry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609-5599, ext. 17000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irelations@tillys.com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4960"/>
                <wp:effectExtent l="0" t="0" r="0" b="0"/>
                <wp:wrapNone/>
                <wp:docPr id="12" name="Frame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3420</Words>
  <Characters>18940</Characters>
  <CharactersWithSpaces>22130</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